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55" w:rsidRDefault="00AA1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Gradas eléctrica con avance del 30%</w:t>
      </w:r>
    </w:p>
    <w:p w:rsidR="00D703A4" w:rsidRDefault="00D7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el fiscalizador de la obra, Andrés Córdoba,e</w:t>
      </w:r>
      <w:r w:rsidRPr="00D703A4">
        <w:rPr>
          <w:rFonts w:ascii="Times New Roman" w:hAnsi="Times New Roman" w:cs="Times New Roman"/>
          <w:sz w:val="24"/>
          <w:szCs w:val="24"/>
        </w:rPr>
        <w:t xml:space="preserve">l contrato se firmó el  12 de marzo del 2019 con un plazo de 300 días y un financiamiento de 1,3 millones de dólares. </w:t>
      </w:r>
      <w:r>
        <w:rPr>
          <w:rFonts w:ascii="Times New Roman" w:hAnsi="Times New Roman" w:cs="Times New Roman"/>
          <w:sz w:val="24"/>
          <w:szCs w:val="24"/>
        </w:rPr>
        <w:t>De los cuales 703.000 corresponden al equipamiento mecánico de las gradas. En la actualidad el avance real y efectivo  de la obra es del 30% mientras  y el avance económico del 18%</w:t>
      </w:r>
    </w:p>
    <w:p w:rsidR="00D703A4" w:rsidRDefault="00D7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estima que el equipamiento mecánico llegará a mediados de noviembre, la instalación  empezará a mediados de diciembre. Esta en estudio una ampliación de plazo por 30 días.</w:t>
      </w:r>
    </w:p>
    <w:p w:rsidR="00D703A4" w:rsidRDefault="00D7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Cabe mencionar que el alcalde de Ambato Dr. Javier Altamirano Sánchez </w:t>
      </w:r>
      <w:r w:rsidR="001858C5">
        <w:rPr>
          <w:rFonts w:ascii="Times New Roman" w:hAnsi="Times New Roman" w:cs="Times New Roman"/>
          <w:sz w:val="24"/>
          <w:szCs w:val="24"/>
        </w:rPr>
        <w:t>cuestionó</w:t>
      </w:r>
      <w:r>
        <w:rPr>
          <w:rFonts w:ascii="Times New Roman" w:hAnsi="Times New Roman" w:cs="Times New Roman"/>
          <w:sz w:val="24"/>
          <w:szCs w:val="24"/>
        </w:rPr>
        <w:t xml:space="preserve"> que en la consultoría previa de  este proyecto no se contempla la</w:t>
      </w:r>
      <w:r w:rsidR="001858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gradas eléctricas, sin embargo dijo que será la Contraloría Gener</w:t>
      </w:r>
      <w:r w:rsidR="007663D2">
        <w:rPr>
          <w:rFonts w:ascii="Times New Roman" w:hAnsi="Times New Roman" w:cs="Times New Roman"/>
          <w:sz w:val="24"/>
          <w:szCs w:val="24"/>
        </w:rPr>
        <w:t>al del Estado qu</w:t>
      </w:r>
      <w:r w:rsidR="001858C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determine el grado de responsabilidad.</w:t>
      </w:r>
    </w:p>
    <w:p w:rsidR="00D703A4" w:rsidRPr="00D703A4" w:rsidRDefault="00D70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resaltó la colaboración y donación de la empres ambateña Fairis en la colocación de la Torre y el reloj que bordea la inversión de 400.000 dólares.</w:t>
      </w:r>
    </w:p>
    <w:sectPr w:rsidR="00D703A4" w:rsidRPr="00D703A4" w:rsidSect="00D876F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D703A4"/>
    <w:rsid w:val="001858C5"/>
    <w:rsid w:val="003649D9"/>
    <w:rsid w:val="007663D2"/>
    <w:rsid w:val="007B68FA"/>
    <w:rsid w:val="00837044"/>
    <w:rsid w:val="009E5256"/>
    <w:rsid w:val="00AA1955"/>
    <w:rsid w:val="00CD654D"/>
    <w:rsid w:val="00D458BD"/>
    <w:rsid w:val="00D703A4"/>
    <w:rsid w:val="00D8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150</Words>
  <Characters>838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2019-10-25T20:40:00Z</dcterms:created>
  <dcterms:modified xsi:type="dcterms:W3CDTF">2019-10-29T17:01:00Z</dcterms:modified>
</cp:coreProperties>
</file>