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Municipio apoya Comités </w:t>
      </w:r>
    </w:p>
    <w:p w:rsidR="008B1028" w:rsidRPr="008B1028" w:rsidRDefault="008B1028" w:rsidP="008B1028">
      <w:pPr>
        <w:rPr>
          <w:rFonts w:ascii="Times New Roman" w:hAnsi="Times New Roman" w:cs="Times New Roman"/>
          <w:sz w:val="24"/>
          <w:szCs w:val="24"/>
        </w:rPr>
      </w:pPr>
      <w:proofErr w:type="gramStart"/>
      <w:r w:rsidRPr="008B1028">
        <w:rPr>
          <w:rFonts w:ascii="Times New Roman" w:hAnsi="Times New Roman" w:cs="Times New Roman"/>
          <w:sz w:val="24"/>
          <w:szCs w:val="24"/>
        </w:rPr>
        <w:t>de</w:t>
      </w:r>
      <w:proofErr w:type="gramEnd"/>
      <w:r w:rsidRPr="008B1028">
        <w:rPr>
          <w:rFonts w:ascii="Times New Roman" w:hAnsi="Times New Roman" w:cs="Times New Roman"/>
          <w:sz w:val="24"/>
          <w:szCs w:val="24"/>
        </w:rPr>
        <w:t xml:space="preserve"> Seguridad Ciudadana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Los Comités de Seguridad Ciudadana y de Brigadas Barriales de Ambato son mecanismos de defensa y protección en contra de la delincuencia, se cumple en coordinación con el Consejo Municipal de Seguridad Ciudadana de Ambato (Comseca) y la Policía Nacional. El alcalde Dr. Javier Altamirano Sánchez dialogó con dirigentes barriales en una reunión efectuada en el auditorio del GAD Municipalidad de Ambato, para tratar sobre la inseguridad y brotes de violencia. Uno de los primeros pasos a seguir es la reactivación del sistema de alarmas comunitarias.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Parroquias con mayor </w:t>
      </w:r>
    </w:p>
    <w:p w:rsidR="008B1028" w:rsidRPr="008B1028" w:rsidRDefault="008B1028" w:rsidP="008B1028">
      <w:pPr>
        <w:rPr>
          <w:rFonts w:ascii="Times New Roman" w:hAnsi="Times New Roman" w:cs="Times New Roman"/>
          <w:sz w:val="24"/>
          <w:szCs w:val="24"/>
        </w:rPr>
      </w:pPr>
      <w:proofErr w:type="gramStart"/>
      <w:r w:rsidRPr="008B1028">
        <w:rPr>
          <w:rFonts w:ascii="Times New Roman" w:hAnsi="Times New Roman" w:cs="Times New Roman"/>
          <w:sz w:val="24"/>
          <w:szCs w:val="24"/>
        </w:rPr>
        <w:t>asignación</w:t>
      </w:r>
      <w:proofErr w:type="gramEnd"/>
      <w:r w:rsidRPr="008B1028">
        <w:rPr>
          <w:rFonts w:ascii="Times New Roman" w:hAnsi="Times New Roman" w:cs="Times New Roman"/>
          <w:sz w:val="24"/>
          <w:szCs w:val="24"/>
        </w:rPr>
        <w:t xml:space="preserve"> económica</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La inversión para el año 2020 en las parroquias rurales del cantón Ambato supera los 4.1 millones de dólares, con un una asignación adicional de 540 mil dólares, con relación a años anteriores. De este modo, el GAD Municipalidad de Ambato entregará a cada una de las 18 parroquias rurales cifras que fluctúan entre  los 211 y 275 mil dólares.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Esta cantidad se transferirá según lo estipula el Modelo de Equidad Territorial, es decir de acuerdo al número de habitantes, densidad poblacional, necesidades básicas insatisfechas, logros en mejoramiento de los niveles de vida, esfuerzo administrativo y cumplimiento de metas.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Hasta el presente año, la asignación por parroquia era de 200 mil dólares, pero ante el pedido ciudadano de incrementar este recurso para obras complementarias, el alcalde de Ambato Dr. Javier Altamirano Sánchez, viabilizó el aumento del presupuesto.</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AMBATO</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ASIGNACIÓN POR PARROQUIAS 2020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lastRenderedPageBreak/>
        <w:t>Santa Rosa</w:t>
      </w:r>
      <w:r w:rsidRPr="008B1028">
        <w:rPr>
          <w:rFonts w:ascii="Times New Roman" w:hAnsi="Times New Roman" w:cs="Times New Roman"/>
          <w:sz w:val="24"/>
          <w:szCs w:val="24"/>
        </w:rPr>
        <w:tab/>
      </w:r>
      <w:r w:rsidRPr="008B1028">
        <w:rPr>
          <w:rFonts w:ascii="Times New Roman" w:hAnsi="Times New Roman" w:cs="Times New Roman"/>
          <w:sz w:val="24"/>
          <w:szCs w:val="24"/>
        </w:rPr>
        <w:tab/>
        <w:t>275.258,73</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Pilahuín</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253.322,99</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Quisapincha</w:t>
      </w:r>
      <w:r w:rsidRPr="008B1028">
        <w:rPr>
          <w:rFonts w:ascii="Times New Roman" w:hAnsi="Times New Roman" w:cs="Times New Roman"/>
          <w:sz w:val="24"/>
          <w:szCs w:val="24"/>
        </w:rPr>
        <w:tab/>
      </w:r>
      <w:r w:rsidRPr="008B1028">
        <w:rPr>
          <w:rFonts w:ascii="Times New Roman" w:hAnsi="Times New Roman" w:cs="Times New Roman"/>
          <w:sz w:val="24"/>
          <w:szCs w:val="24"/>
        </w:rPr>
        <w:tab/>
        <w:t>251.439,65</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Izamba</w:t>
      </w:r>
      <w:r w:rsidRPr="008B1028">
        <w:rPr>
          <w:rFonts w:ascii="Times New Roman" w:hAnsi="Times New Roman" w:cs="Times New Roman"/>
          <w:sz w:val="24"/>
          <w:szCs w:val="24"/>
        </w:rPr>
        <w:tab/>
      </w:r>
      <w:r w:rsidRPr="008B1028">
        <w:rPr>
          <w:rFonts w:ascii="Times New Roman" w:hAnsi="Times New Roman" w:cs="Times New Roman"/>
          <w:sz w:val="24"/>
          <w:szCs w:val="24"/>
        </w:rPr>
        <w:tab/>
      </w:r>
      <w:r w:rsidRPr="008B1028">
        <w:rPr>
          <w:rFonts w:ascii="Times New Roman" w:hAnsi="Times New Roman" w:cs="Times New Roman"/>
          <w:sz w:val="24"/>
          <w:szCs w:val="24"/>
        </w:rPr>
        <w:tab/>
        <w:t>241.019,64</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Huachi Grande</w:t>
      </w:r>
      <w:r w:rsidRPr="008B1028">
        <w:rPr>
          <w:rFonts w:ascii="Times New Roman" w:hAnsi="Times New Roman" w:cs="Times New Roman"/>
          <w:sz w:val="24"/>
          <w:szCs w:val="24"/>
        </w:rPr>
        <w:tab/>
        <w:t xml:space="preserve">          233.431,69</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Picaihua</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229.805,29</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Atahualpa</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228.705,59</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Juan Benigno Vela</w:t>
      </w:r>
      <w:r w:rsidRPr="008B1028">
        <w:rPr>
          <w:rFonts w:ascii="Times New Roman" w:hAnsi="Times New Roman" w:cs="Times New Roman"/>
          <w:sz w:val="24"/>
          <w:szCs w:val="24"/>
        </w:rPr>
        <w:tab/>
        <w:t>228.532,14</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Pinllo</w:t>
      </w:r>
      <w:r w:rsidRPr="008B1028">
        <w:rPr>
          <w:rFonts w:ascii="Times New Roman" w:hAnsi="Times New Roman" w:cs="Times New Roman"/>
          <w:sz w:val="24"/>
          <w:szCs w:val="24"/>
        </w:rPr>
        <w:tab/>
      </w:r>
      <w:r w:rsidRPr="008B1028">
        <w:rPr>
          <w:rFonts w:ascii="Times New Roman" w:hAnsi="Times New Roman" w:cs="Times New Roman"/>
          <w:sz w:val="24"/>
          <w:szCs w:val="24"/>
        </w:rPr>
        <w:tab/>
      </w:r>
      <w:r w:rsidRPr="008B1028">
        <w:rPr>
          <w:rFonts w:ascii="Times New Roman" w:hAnsi="Times New Roman" w:cs="Times New Roman"/>
          <w:sz w:val="24"/>
          <w:szCs w:val="24"/>
        </w:rPr>
        <w:tab/>
        <w:t>227.547,58</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Pasa</w:t>
      </w:r>
      <w:r w:rsidRPr="008B1028">
        <w:rPr>
          <w:rFonts w:ascii="Times New Roman" w:hAnsi="Times New Roman" w:cs="Times New Roman"/>
          <w:sz w:val="24"/>
          <w:szCs w:val="24"/>
        </w:rPr>
        <w:tab/>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227.046,42</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Augusto N. Martínez</w:t>
      </w:r>
      <w:r w:rsidRPr="008B1028">
        <w:rPr>
          <w:rFonts w:ascii="Times New Roman" w:hAnsi="Times New Roman" w:cs="Times New Roman"/>
          <w:sz w:val="24"/>
          <w:szCs w:val="24"/>
        </w:rPr>
        <w:tab/>
        <w:t>225.402,97</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Totoras</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224.066,40</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Ambatillo</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219.461,13</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Cunchibamba</w:t>
      </w:r>
      <w:r w:rsidRPr="008B1028">
        <w:rPr>
          <w:rFonts w:ascii="Times New Roman" w:hAnsi="Times New Roman" w:cs="Times New Roman"/>
          <w:sz w:val="24"/>
          <w:szCs w:val="24"/>
        </w:rPr>
        <w:tab/>
      </w:r>
      <w:r w:rsidRPr="008B1028">
        <w:rPr>
          <w:rFonts w:ascii="Times New Roman" w:hAnsi="Times New Roman" w:cs="Times New Roman"/>
          <w:sz w:val="24"/>
          <w:szCs w:val="24"/>
        </w:rPr>
        <w:tab/>
        <w:t>217.408,64</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Unamuncho</w:t>
      </w:r>
      <w:r w:rsidRPr="008B1028">
        <w:rPr>
          <w:rFonts w:ascii="Times New Roman" w:hAnsi="Times New Roman" w:cs="Times New Roman"/>
          <w:sz w:val="24"/>
          <w:szCs w:val="24"/>
        </w:rPr>
        <w:tab/>
      </w:r>
      <w:r w:rsidRPr="008B1028">
        <w:rPr>
          <w:rFonts w:ascii="Times New Roman" w:hAnsi="Times New Roman" w:cs="Times New Roman"/>
          <w:sz w:val="24"/>
          <w:szCs w:val="24"/>
        </w:rPr>
        <w:tab/>
        <w:t>216.863,86</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Constantino Fernández 215.031,77</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Montalvo</w:t>
      </w:r>
      <w:r w:rsidRPr="008B1028">
        <w:rPr>
          <w:rFonts w:ascii="Times New Roman" w:hAnsi="Times New Roman" w:cs="Times New Roman"/>
          <w:sz w:val="24"/>
          <w:szCs w:val="24"/>
        </w:rPr>
        <w:tab/>
      </w:r>
      <w:r w:rsidRPr="008B1028">
        <w:rPr>
          <w:rFonts w:ascii="Times New Roman" w:hAnsi="Times New Roman" w:cs="Times New Roman"/>
          <w:sz w:val="24"/>
          <w:szCs w:val="24"/>
        </w:rPr>
        <w:tab/>
        <w:t xml:space="preserve">          214.576,69</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San Fernando</w:t>
      </w:r>
      <w:r w:rsidRPr="008B1028">
        <w:rPr>
          <w:rFonts w:ascii="Times New Roman" w:hAnsi="Times New Roman" w:cs="Times New Roman"/>
          <w:sz w:val="24"/>
          <w:szCs w:val="24"/>
        </w:rPr>
        <w:tab/>
      </w:r>
      <w:r w:rsidRPr="008B1028">
        <w:rPr>
          <w:rFonts w:ascii="Times New Roman" w:hAnsi="Times New Roman" w:cs="Times New Roman"/>
          <w:sz w:val="24"/>
          <w:szCs w:val="24"/>
        </w:rPr>
        <w:tab/>
        <w:t>211.078,83</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TOTAL </w:t>
      </w:r>
      <w:r w:rsidRPr="008B1028">
        <w:rPr>
          <w:rFonts w:ascii="Times New Roman" w:hAnsi="Times New Roman" w:cs="Times New Roman"/>
          <w:sz w:val="24"/>
          <w:szCs w:val="24"/>
        </w:rPr>
        <w:tab/>
      </w:r>
      <w:r w:rsidRPr="008B1028">
        <w:rPr>
          <w:rFonts w:ascii="Times New Roman" w:hAnsi="Times New Roman" w:cs="Times New Roman"/>
          <w:sz w:val="24"/>
          <w:szCs w:val="24"/>
        </w:rPr>
        <w:tab/>
        <w:t>4,140.000</w:t>
      </w:r>
      <w:proofErr w:type="gramStart"/>
      <w:r w:rsidRPr="008B1028">
        <w:rPr>
          <w:rFonts w:ascii="Times New Roman" w:hAnsi="Times New Roman" w:cs="Times New Roman"/>
          <w:sz w:val="24"/>
          <w:szCs w:val="24"/>
        </w:rPr>
        <w:t>,00</w:t>
      </w:r>
      <w:proofErr w:type="gramEnd"/>
      <w:r w:rsidRPr="008B1028">
        <w:rPr>
          <w:rFonts w:ascii="Times New Roman" w:hAnsi="Times New Roman" w:cs="Times New Roman"/>
          <w:sz w:val="24"/>
          <w:szCs w:val="24"/>
        </w:rPr>
        <w:tab/>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000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23-24</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OBRAS GRANDES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Terminal Sur lista en febrero de 2020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La nueva Terminal Terrestre Sur de Ambato tiene un avance de obra del 87 por ciento, para una construcción de 12 mil metros cuadrados, en la que los ambateños invierten alrededor de 11 millones de dólares. Está </w:t>
      </w:r>
      <w:proofErr w:type="gramStart"/>
      <w:r w:rsidRPr="008B1028">
        <w:rPr>
          <w:rFonts w:ascii="Times New Roman" w:hAnsi="Times New Roman" w:cs="Times New Roman"/>
          <w:sz w:val="24"/>
          <w:szCs w:val="24"/>
        </w:rPr>
        <w:t>previsto</w:t>
      </w:r>
      <w:proofErr w:type="gramEnd"/>
      <w:r w:rsidRPr="008B1028">
        <w:rPr>
          <w:rFonts w:ascii="Times New Roman" w:hAnsi="Times New Roman" w:cs="Times New Roman"/>
          <w:sz w:val="24"/>
          <w:szCs w:val="24"/>
        </w:rPr>
        <w:t xml:space="preserve"> su inauguración en febrero del año 2020, con una proyección en atención de usuarios de 29.314 por día, aproximadamente.</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El alcalde Dr. Javier Altamirano Sánchez recorrió este espacio con su equipo técnico y dejó directrices que permitirán reforzar la culminación de esta obra esperada por los moradores del  sector sur-oriental de la ciudad, dinamizando la transportación interprovincial desde y hacia Ambato.</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En estas instalaciones el usuario tendrá la comodidad de acceso a un bus interprovincial, amplio patio de comidas, locales comerciales, baterías sanitarias, espaciosas salas de espera, parqueaderos, telefonía, internet, hospedaje, entre otros servicios.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CIFRAS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TERMINAL SUR</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11 millones de dólares de inversión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29 mil usuarios atendidos por día</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21 buses en la zona de embarque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20 buses en el área de espera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42 parqueaderos permanentes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19 locales comerciales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44 oficinas de boleterías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10 locales en el patio de comidas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21 espacios para bicicletas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Aguas residuales servirán para regadío</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La Planta de Tratamiento de Aguas Residuales Las Viñitas recolectará y procesará el 90 por ciento de las aguas residuales del cantón Ambato. Es una de las primeras en el país después de Guayaquil, Quito e Ibarra, con una inversión final de 32 millones de dólares, financiado por el Banco de Desarrollo del Ecuador. Tiene un avance del 99 por ciento en obra civil y el 85 por ciento en equipamiento. Se ha previsto una capacidad de tratamiento de 760 litros por segundo y 12 kilómetros de canales recolectores, cuyas aguas procesadas se podrán usar para el sistema de regadío. La firma del contrato se realizó el 25 de agosto de 2016, al momento esta infraestructura sanitaria está en etapa de pruebas.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Obras viales en el parque Sucre</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El GAD Municipalidad de Ambato da continuidad a las obras viales que se realizan en el sector del parque Sucre, cuya ejecución tiene un avance del 75 por ciento, con una inversión de 1.8 millones de dólares.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Este proyecto dinamizará el tráfico vehicular desde y hacia el centro de la ciudad, evitando la congestión.</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Aquí se construye un puente a desnivel de 109 metros de largo, 2 carriles de 7 metros de ancho y una altura de 5 metros. Además, un paso deprimido de 150 metros de longitud y un solo carril de 4,50 metros de ancho</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Para este proyecto, tanto en el puente a desnivel, como en el paso deprimido se utilizan 148.000 kilogramos de acero y 2.600 metros cúbicos de hormigón.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0000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26</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Masiva presencia en Feria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Zonal de Emprendimientos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Más de 90 expositores de Chimborazo, Cotopaxi, Pastaza y Tungurahua, participaron en la Feria Zonal de Emprendimientos que se efectuó en el parque Cevallos de Ambato, con miras a reactivar la economía de la zona central del país. El encuentro lo realizó el Departamento de Desarrollo Social y Economía Solidaria del GAD Muncipalidad de Ambato y el Ministerio de Inclusión Económica y Social (MIES).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La salud se cuida en el Mayorista</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Alrededor de 100 comerciantes que expenden papas y granos frescos en el Mercado Mayorista de Ambato, recibieron, atención médica y odontológica gratuita, por parte de la administración de este centro de acopio. Esta actividad se cumplió por primera vez y continuará con el resto de los 1850 comerciantes catastrados. En días anteriores, 600 estibadores que laboran en este lugar también fueron atendidos en salud preventiva.</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Dibuja una sonrisa con la </w:t>
      </w:r>
    </w:p>
    <w:p w:rsidR="008B1028" w:rsidRPr="008B1028" w:rsidRDefault="008B1028" w:rsidP="008B1028">
      <w:pPr>
        <w:rPr>
          <w:rFonts w:ascii="Times New Roman" w:hAnsi="Times New Roman" w:cs="Times New Roman"/>
          <w:sz w:val="24"/>
          <w:szCs w:val="24"/>
        </w:rPr>
      </w:pPr>
      <w:proofErr w:type="gramStart"/>
      <w:r w:rsidRPr="008B1028">
        <w:rPr>
          <w:rFonts w:ascii="Times New Roman" w:hAnsi="Times New Roman" w:cs="Times New Roman"/>
          <w:sz w:val="24"/>
          <w:szCs w:val="24"/>
        </w:rPr>
        <w:t>colada</w:t>
      </w:r>
      <w:proofErr w:type="gramEnd"/>
      <w:r w:rsidRPr="008B1028">
        <w:rPr>
          <w:rFonts w:ascii="Times New Roman" w:hAnsi="Times New Roman" w:cs="Times New Roman"/>
          <w:sz w:val="24"/>
          <w:szCs w:val="24"/>
        </w:rPr>
        <w:t xml:space="preserve"> morada solidaria</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El Voluntariado Ambato La Gran Ciudad, presidido por María Verónica Dávalos, organizó la ‘Colada Morada Solidaria’, con la venta de cinco mil vasos de la deliciosa bebida y una guagua de pan, por un dólar. El dinero recaudado servirá para ofrecer un agasajo navideño </w:t>
      </w:r>
      <w:r w:rsidRPr="008B1028">
        <w:rPr>
          <w:rFonts w:ascii="Times New Roman" w:hAnsi="Times New Roman" w:cs="Times New Roman"/>
          <w:sz w:val="24"/>
          <w:szCs w:val="24"/>
        </w:rPr>
        <w:lastRenderedPageBreak/>
        <w:t xml:space="preserve">a la niñez de escasos recursos económicos, con el lema ‘Dibuja una sonrisa a quienes más lo necesitan’. Contó con el apoyo del Mercado Mayorista de Ambato, que donó los productos, </w:t>
      </w:r>
      <w:proofErr w:type="spellStart"/>
      <w:r w:rsidRPr="008B1028">
        <w:rPr>
          <w:rFonts w:ascii="Times New Roman" w:hAnsi="Times New Roman" w:cs="Times New Roman"/>
          <w:sz w:val="24"/>
          <w:szCs w:val="24"/>
        </w:rPr>
        <w:t>Cuissine</w:t>
      </w:r>
      <w:proofErr w:type="spellEnd"/>
      <w:r w:rsidRPr="008B1028">
        <w:rPr>
          <w:rFonts w:ascii="Times New Roman" w:hAnsi="Times New Roman" w:cs="Times New Roman"/>
          <w:sz w:val="24"/>
          <w:szCs w:val="24"/>
        </w:rPr>
        <w:t xml:space="preserve"> Institución de Gastronomía, encargada de la elaboración de la colada morada y el GAD Municipalidad de Ambato.</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[5:28 p. m., 31/10/2019] Marquito (Editor GADMA): 101</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Proyecto Bicentenario en el parque 12</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El Proyecto Bicentenario se enfoca en el Ambato del futuro y contempla la regeneración urbana de la ciudad para una mejor movilidad y bienestar de los ambateños, con miras al año 2050. El epicentro será el sector del parque 12 de Noviembre, donde se construirá una estación multimodal, moderna y tecnológica, que reorganizará las rutas y frecuencias de transporte público. Además, en el área del Centro Comercial Ambato, bloque 2, afectado por el hundimiento de la estructura, será demolido y en su lugar se   levantará un cuartel de la Policía Nacional y de los Agentes Civiles de Tránsito. Los modos de transporte que se conectarán en la parada multimodal son: buses de transporte, bicicletas y taxis.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IMPLEMENTACIÓN </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PARADA MULTIMODAL</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-Andenes de embarque y desembarque</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-Espacios para el parqueo temporal de buses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-Punto de venta de tickets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-Espacio para parqueo de bicicletas</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-Bahías para taxis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Plazoleta Bellavista con parqueadero subterráneo</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lastRenderedPageBreak/>
        <w:t xml:space="preserve">La Plazoleta Bellavista se proyecta construir en el espacio donde actualmente funcionan las canchas del City Bank, en la avenida Bolivariana y Azuay. Tendrá un equipamiento urbano, espacios de recreación y áreas verdes para el esparcimiento de propios y extraños. Además, en esta zona se construirá un parqueadero subterráneo con capacidad para 300 vehículos, que estará al servicio de quienes acuden a los eventos deportivos en el estadio Bellavista y el coliseo de deportes de Ambato.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Confort en el parque de la ex Laguna</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El Parque de la ex Laguna de Ingahurco ha sido por años un espacio público de recreación de las familias ambateñas, pero necesita una urgente regeneración. La Municipalidad de Ambato ha previsto una intervención a las caminerías y áreas de recreación, además de la consolidación de áreas verdes, adecuación de infraestructura para garantizar accesibilidad universal, implementación de luminarias y mobiliario para el confort de los ambateños y visitantes.</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000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Cambio sustancial en </w:t>
      </w:r>
    </w:p>
    <w:p w:rsidR="008B1028" w:rsidRPr="008B1028" w:rsidRDefault="008B1028" w:rsidP="008B1028">
      <w:pPr>
        <w:rPr>
          <w:rFonts w:ascii="Times New Roman" w:hAnsi="Times New Roman" w:cs="Times New Roman"/>
          <w:sz w:val="24"/>
          <w:szCs w:val="24"/>
        </w:rPr>
      </w:pPr>
      <w:proofErr w:type="gramStart"/>
      <w:r w:rsidRPr="008B1028">
        <w:rPr>
          <w:rFonts w:ascii="Times New Roman" w:hAnsi="Times New Roman" w:cs="Times New Roman"/>
          <w:sz w:val="24"/>
          <w:szCs w:val="24"/>
        </w:rPr>
        <w:t>la</w:t>
      </w:r>
      <w:proofErr w:type="gramEnd"/>
      <w:r w:rsidRPr="008B1028">
        <w:rPr>
          <w:rFonts w:ascii="Times New Roman" w:hAnsi="Times New Roman" w:cs="Times New Roman"/>
          <w:sz w:val="24"/>
          <w:szCs w:val="24"/>
        </w:rPr>
        <w:t xml:space="preserve"> Primera Imprenta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El Monumento a la Primera Imprenta, ubicado en la parroquia Pinllo,  desde donde se aprecia una hermosa panorámica de Ambato, cambiará de imagen.  Los espacios públicos, caminerías y plataformas recreacionales, así como las áreas verdes serán recuperados de manera integral, consolidando toda la infraestructura para garantizar accesibilidad universal, con la implementación de luminarias y mobiliario. También se busca la intervención del edificio ubicado en el predio a fin de potenciar su uso.</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 xml:space="preserve">[6:17 p. m., 31/10/2019] Marquito (Editor GADMA): PORTADA </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lastRenderedPageBreak/>
        <w:t xml:space="preserve">La gesta heroica del 12 de Noviembre de 1820, que legó la libertad del yugo español a San Juan Bautista de Ambato, es </w:t>
      </w:r>
      <w:proofErr w:type="gramStart"/>
      <w:r w:rsidRPr="008B1028">
        <w:rPr>
          <w:rFonts w:ascii="Times New Roman" w:hAnsi="Times New Roman" w:cs="Times New Roman"/>
          <w:sz w:val="24"/>
          <w:szCs w:val="24"/>
        </w:rPr>
        <w:t>digno</w:t>
      </w:r>
      <w:proofErr w:type="gramEnd"/>
      <w:r w:rsidRPr="008B1028">
        <w:rPr>
          <w:rFonts w:ascii="Times New Roman" w:hAnsi="Times New Roman" w:cs="Times New Roman"/>
          <w:sz w:val="24"/>
          <w:szCs w:val="24"/>
        </w:rPr>
        <w:t xml:space="preserve"> de resaltar como un evento patriótico y cívico sin presentes en la historia de los ambateños. El color rojo, verde, rojo, corre por las venas embravecidas de este pueblo que ha sabido salir a flote en los momentos más difíciles y levantarse en la adversidad, aún a costa de su propia vida.</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Mi profundo respeto a los próceres de la jornada libertaria que emancipó a nuestra querida ciudad y ahora gozamos de esa libertad que nos permite pensar y tomar acciones para seguir haciendo de Ambato, grande, próspera y acogedora.</w:t>
      </w: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¡Loor al 12 de Noviembre de 1820!</w:t>
      </w:r>
    </w:p>
    <w:p w:rsidR="008B1028" w:rsidRPr="008B1028" w:rsidRDefault="008B1028" w:rsidP="008B1028">
      <w:pPr>
        <w:rPr>
          <w:rFonts w:ascii="Times New Roman" w:hAnsi="Times New Roman" w:cs="Times New Roman"/>
          <w:sz w:val="24"/>
          <w:szCs w:val="24"/>
        </w:rPr>
      </w:pPr>
    </w:p>
    <w:p w:rsidR="008B1028"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Javier Altamirano Sánchez</w:t>
      </w:r>
    </w:p>
    <w:p w:rsidR="00CD654D" w:rsidRPr="008B1028" w:rsidRDefault="008B1028" w:rsidP="008B1028">
      <w:pPr>
        <w:rPr>
          <w:rFonts w:ascii="Times New Roman" w:hAnsi="Times New Roman" w:cs="Times New Roman"/>
          <w:sz w:val="24"/>
          <w:szCs w:val="24"/>
        </w:rPr>
      </w:pPr>
      <w:r w:rsidRPr="008B1028">
        <w:rPr>
          <w:rFonts w:ascii="Times New Roman" w:hAnsi="Times New Roman" w:cs="Times New Roman"/>
          <w:sz w:val="24"/>
          <w:szCs w:val="24"/>
        </w:rPr>
        <w:t>ALCALDE DE AMBATO</w:t>
      </w:r>
    </w:p>
    <w:sectPr w:rsidR="00CD654D" w:rsidRPr="008B1028" w:rsidSect="00EC43E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B1028"/>
    <w:rsid w:val="003649D9"/>
    <w:rsid w:val="007B68FA"/>
    <w:rsid w:val="008B1028"/>
    <w:rsid w:val="00CD654D"/>
    <w:rsid w:val="00D458BD"/>
    <w:rsid w:val="00EC43E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1501</Words>
  <Characters>8259</Characters>
  <Application>Microsoft Office Word</Application>
  <DocSecurity>0</DocSecurity>
  <Lines>68</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2019-11-08T14:25:00Z</dcterms:created>
  <dcterms:modified xsi:type="dcterms:W3CDTF">2019-11-08T14:26:00Z</dcterms:modified>
</cp:coreProperties>
</file>