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Pr="00673A02" w:rsidRDefault="00673A02">
      <w:pPr>
        <w:rPr>
          <w:rFonts w:ascii="Times New Roman" w:hAnsi="Times New Roman" w:cs="Times New Roman"/>
          <w:sz w:val="28"/>
          <w:szCs w:val="28"/>
        </w:rPr>
      </w:pPr>
      <w:r w:rsidRPr="00673A02">
        <w:rPr>
          <w:rFonts w:ascii="Times New Roman" w:hAnsi="Times New Roman" w:cs="Times New Roman"/>
          <w:sz w:val="28"/>
          <w:szCs w:val="28"/>
        </w:rPr>
        <w:t>La intervención total de construcción cubierta será de 11.487 m2 y área abierta con zonas públicas y operacionales de 55.097 m2. El terreno tiene un área total de 63.271 m2. Cubrirá la demanda de 29.314 usuarios por día que se dirigen a diferentes provincias, contará con una capacidad de 20 buses en la zona de embarque, 10 buses en el área de espera y 42 en el parqueadero permanente, además de 93 parqueaderos en el área de encomiendas (incluido 2 para discapacitados) más 2 parqueaderos para motos, 21 espacios para bicicletas.</w:t>
      </w:r>
    </w:p>
    <w:sectPr w:rsidR="00CD654D" w:rsidRPr="00673A02" w:rsidSect="002038D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73A02"/>
    <w:rsid w:val="002038D3"/>
    <w:rsid w:val="003649D9"/>
    <w:rsid w:val="00673A02"/>
    <w:rsid w:val="007B68FA"/>
    <w:rsid w:val="009A0E72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2019-09-19T16:53:00Z</dcterms:created>
  <dcterms:modified xsi:type="dcterms:W3CDTF">2019-09-20T16:21:00Z</dcterms:modified>
</cp:coreProperties>
</file>