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B51365">
                              <w:rPr>
                                <w:rFonts w:ascii="Century Gothic" w:hAnsi="Century Gothic"/>
                                <w:b/>
                                <w:lang w:val="es-ES"/>
                              </w:rPr>
                              <w:t>294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B51365">
                        <w:rPr>
                          <w:rFonts w:ascii="Century Gothic" w:hAnsi="Century Gothic"/>
                          <w:b/>
                          <w:lang w:val="es-ES"/>
                        </w:rPr>
                        <w:t>294</w:t>
                      </w:r>
                      <w:bookmarkStart w:id="1" w:name="_GoBack"/>
                      <w:bookmarkEnd w:id="1"/>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F333B8">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F333B8">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9059D0" w:rsidRDefault="009059D0" w:rsidP="009059D0">
      <w:pPr>
        <w:jc w:val="center"/>
        <w:rPr>
          <w:rFonts w:ascii="Century Gothic" w:hAnsi="Century Gothic"/>
          <w:b/>
          <w:sz w:val="20"/>
          <w:lang w:val="es-ES"/>
        </w:rPr>
      </w:pPr>
    </w:p>
    <w:p w:rsidR="008161B3" w:rsidRPr="008161B3" w:rsidRDefault="008161B3" w:rsidP="008161B3">
      <w:pPr>
        <w:jc w:val="center"/>
        <w:rPr>
          <w:rFonts w:ascii="Century Gothic" w:hAnsi="Century Gothic"/>
          <w:b/>
          <w:sz w:val="20"/>
          <w:lang w:val="es-ES"/>
        </w:rPr>
      </w:pPr>
      <w:r w:rsidRPr="008161B3">
        <w:rPr>
          <w:rFonts w:ascii="Century Gothic" w:hAnsi="Century Gothic"/>
          <w:b/>
          <w:sz w:val="20"/>
          <w:lang w:val="es-ES"/>
        </w:rPr>
        <w:t>Ambato continúa en semáforo amarillo con nuevas restricciones</w:t>
      </w:r>
    </w:p>
    <w:p w:rsidR="008161B3" w:rsidRPr="008161B3" w:rsidRDefault="008161B3" w:rsidP="008161B3">
      <w:pPr>
        <w:jc w:val="center"/>
        <w:rPr>
          <w:rFonts w:ascii="Century Gothic" w:hAnsi="Century Gothic"/>
          <w:b/>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En sesión virtual del Comité de Operaciones Emergentes (COE) Cantonal, de este viernes 27 de noviembre, presidida por el alcalde de Ambato, Dr. Javier Altamirano Sánchez, se resolvió continuar en semáforo epidemiológico amarillo en el cantón, durante la semana del lunes 30 de noviembre al domingo 6 de diciembre, con nuevas restricciones de movilidad y prohibiciones.</w:t>
      </w:r>
    </w:p>
    <w:p w:rsidR="008161B3" w:rsidRP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A partir del martes 1 de diciembre se restringirá la circulación de vehículos particulares en horario de 21:00 a 05:00, así como el expendio y consumo de licor los días 24, 25, 26 y 31 de diciembre de 2020, 1 y 2 de enero de 2021 en el cantón Ambato. Las personas que infrinjan la normativa serán sancionadas, al igual que los vehículos, de acuerdo a la Ordenanza de Bioseguridad vigente.</w:t>
      </w:r>
    </w:p>
    <w:p w:rsidR="008161B3" w:rsidRP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A esto se añaden las medidas de control y restricciones en cuanto a actividades propias de Navidad y Año Nuevo, que conllevan reuniones y aglomeraciones, por lo que se prohíben fiestas temáticas, pases del niño, novenas, viudas, concursos, venta y quema de años viejos en diciembre.</w:t>
      </w:r>
    </w:p>
    <w:p w:rsidR="008161B3" w:rsidRP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Tampoco se permitirá la distribución y comercialización de fuegos pirotécnicos. Se prohíben las ferias informales y comercialización de productos en las calles. Los comerciantes podrán ubicarse en las terrazas municipales y parqueaderos de los mercados, según un plan piloto municipal.</w:t>
      </w:r>
    </w:p>
    <w:p w:rsidR="008161B3" w:rsidRP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Los controles serán permanentes por parte de la Municipalidad de Ambato, Gobernación, Intendencia, Policía Nacional y Ejército, con la finalidad de evitar el incremento de contagios de coronavirus en la ciudad, que en los últimos días registra un repunte de casos positivos.</w:t>
      </w:r>
    </w:p>
    <w:p w:rsidR="008161B3" w:rsidRP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Esto es corroborado por un informe del Ministerio de Salud Pública del Ecuador, que alerta sobre el aumento de contagios en Ambato, con 70 casos en una semana. A decir del Dr. Edison Pulistar la curva epidemiológica se mantiene en la ciudad, con un nivel de virulencia muy preocupante.</w:t>
      </w:r>
    </w:p>
    <w:p w:rsidR="008161B3" w:rsidRP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En cuanto a las camas UCI y de hospitalización, en el Hospital General Docente Ambato y Hospital del Instituto Ecuatoriano de Seguridad Social, están casi llenas. Se recomienda evitar las aglomeraciones, por cuanto la movilidad humana conlleva la movilidad del virus, se indicó.</w:t>
      </w:r>
    </w:p>
    <w:p w:rsidR="008161B3" w:rsidRP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r w:rsidRPr="008161B3">
        <w:rPr>
          <w:rFonts w:ascii="Century Gothic" w:hAnsi="Century Gothic"/>
          <w:sz w:val="20"/>
          <w:lang w:val="es-ES"/>
        </w:rPr>
        <w:t>Las parroquias Huachi Loreto, Huachi Chico y La Matriz siguen siendo las de mayor incidencia, al igual que las emergencias o alertas reportadas al ECU-911, con un incremento de aglomeraciones, escándalos públicos, consumo de licor, fiestas clandestinas, violencia intrafamiliar y agresiones.</w:t>
      </w:r>
    </w:p>
    <w:p w:rsidR="008161B3" w:rsidRPr="008161B3" w:rsidRDefault="008161B3" w:rsidP="008161B3">
      <w:pPr>
        <w:jc w:val="both"/>
        <w:rPr>
          <w:rFonts w:ascii="Century Gothic" w:hAnsi="Century Gothic"/>
          <w:sz w:val="20"/>
          <w:lang w:val="es-ES"/>
        </w:rPr>
      </w:pPr>
    </w:p>
    <w:p w:rsidR="008161B3" w:rsidRPr="008161B3" w:rsidRDefault="008161B3" w:rsidP="008161B3">
      <w:pPr>
        <w:jc w:val="both"/>
        <w:rPr>
          <w:rFonts w:ascii="Century Gothic" w:hAnsi="Century Gothic"/>
          <w:sz w:val="20"/>
          <w:lang w:val="es-ES"/>
        </w:rPr>
      </w:pPr>
      <w:r w:rsidRPr="008161B3">
        <w:rPr>
          <w:rFonts w:ascii="Century Gothic" w:hAnsi="Century Gothic"/>
          <w:sz w:val="20"/>
          <w:lang w:val="es-ES"/>
        </w:rPr>
        <w:t>Los actos delictivos también subieron, de acuerdo a un informe de la Policía Nacional, Ambato aporta con el 94% de casos en la provincia de Tungurahua. El fenómeno es más evidente en diciembre, por lo que se recomienda a la ciudadanía tener cuidado en la calle y con los domicilios.</w:t>
      </w:r>
    </w:p>
    <w:p w:rsid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p>
    <w:p w:rsidR="008161B3" w:rsidRDefault="008161B3" w:rsidP="008161B3">
      <w:pPr>
        <w:jc w:val="both"/>
        <w:rPr>
          <w:rFonts w:ascii="Century Gothic" w:hAnsi="Century Gothic"/>
          <w:sz w:val="20"/>
          <w:lang w:val="es-ES"/>
        </w:rPr>
      </w:pPr>
    </w:p>
    <w:p w:rsidR="000104BE" w:rsidRPr="008161B3" w:rsidRDefault="008161B3" w:rsidP="008161B3">
      <w:pPr>
        <w:jc w:val="both"/>
        <w:rPr>
          <w:rFonts w:ascii="Century Gothic" w:hAnsi="Century Gothic"/>
          <w:sz w:val="20"/>
          <w:lang w:val="es-ES"/>
        </w:rPr>
      </w:pPr>
      <w:r w:rsidRPr="008161B3">
        <w:rPr>
          <w:rFonts w:ascii="Century Gothic" w:hAnsi="Century Gothic"/>
          <w:sz w:val="20"/>
          <w:lang w:val="es-ES"/>
        </w:rPr>
        <w:t>El Ing. Héctor Cobo, jefe de la Unidad de Gestión de Riesgos (UGR), dijo que en el marco del proyecto “Mi Negocio Seguro” se visitaron en la última semana 381 locales comerciales de la ciudad, de los cuales 60 cumplieron las medidas de bioseguridad establecidas, mientras que el resto fueron notificados a los propietarios para que elaboren sus planes de contingencia.</w:t>
      </w:r>
    </w:p>
    <w:p w:rsidR="008161B3" w:rsidRPr="009059D0" w:rsidRDefault="008161B3" w:rsidP="008161B3">
      <w:pPr>
        <w:jc w:val="center"/>
        <w:rPr>
          <w:rFonts w:ascii="Century Gothic" w:hAnsi="Century Gothic"/>
          <w:sz w:val="20"/>
          <w:lang w:val="es-ES"/>
        </w:rPr>
      </w:pPr>
    </w:p>
    <w:sectPr w:rsidR="008161B3" w:rsidRPr="009059D0"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DC" w:rsidRDefault="00932FDC" w:rsidP="00411730">
      <w:r>
        <w:separator/>
      </w:r>
    </w:p>
  </w:endnote>
  <w:endnote w:type="continuationSeparator" w:id="0">
    <w:p w:rsidR="00932FDC" w:rsidRDefault="00932FDC"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DC" w:rsidRDefault="00932FDC" w:rsidP="00411730">
      <w:r>
        <w:separator/>
      </w:r>
    </w:p>
  </w:footnote>
  <w:footnote w:type="continuationSeparator" w:id="0">
    <w:p w:rsidR="00932FDC" w:rsidRDefault="00932FDC"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1CA1"/>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167"/>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46EE4"/>
    <w:rsid w:val="00153D38"/>
    <w:rsid w:val="00155BCD"/>
    <w:rsid w:val="00160EBC"/>
    <w:rsid w:val="00165628"/>
    <w:rsid w:val="00165D99"/>
    <w:rsid w:val="00177338"/>
    <w:rsid w:val="00186064"/>
    <w:rsid w:val="00191EB7"/>
    <w:rsid w:val="001A0AF7"/>
    <w:rsid w:val="001A6FDD"/>
    <w:rsid w:val="001B656E"/>
    <w:rsid w:val="001C1826"/>
    <w:rsid w:val="001C5848"/>
    <w:rsid w:val="001C75B2"/>
    <w:rsid w:val="001C7DF8"/>
    <w:rsid w:val="001D3788"/>
    <w:rsid w:val="001E066E"/>
    <w:rsid w:val="001E2276"/>
    <w:rsid w:val="001E56B6"/>
    <w:rsid w:val="001E7BC9"/>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3F6F"/>
    <w:rsid w:val="003446F8"/>
    <w:rsid w:val="00345615"/>
    <w:rsid w:val="00346464"/>
    <w:rsid w:val="00346C53"/>
    <w:rsid w:val="0035041D"/>
    <w:rsid w:val="00353C4E"/>
    <w:rsid w:val="003617E9"/>
    <w:rsid w:val="00364080"/>
    <w:rsid w:val="00364366"/>
    <w:rsid w:val="003664A4"/>
    <w:rsid w:val="00366AA5"/>
    <w:rsid w:val="003714EF"/>
    <w:rsid w:val="00371D81"/>
    <w:rsid w:val="003777E8"/>
    <w:rsid w:val="00387B5B"/>
    <w:rsid w:val="00393DD6"/>
    <w:rsid w:val="003961AC"/>
    <w:rsid w:val="0039746B"/>
    <w:rsid w:val="003A0F76"/>
    <w:rsid w:val="003B1EA2"/>
    <w:rsid w:val="003C0761"/>
    <w:rsid w:val="003C4FD6"/>
    <w:rsid w:val="003D05E2"/>
    <w:rsid w:val="003D0E40"/>
    <w:rsid w:val="003D27B3"/>
    <w:rsid w:val="003D49AA"/>
    <w:rsid w:val="003E5DAB"/>
    <w:rsid w:val="003F2350"/>
    <w:rsid w:val="00411730"/>
    <w:rsid w:val="00412A1D"/>
    <w:rsid w:val="004157B6"/>
    <w:rsid w:val="00416235"/>
    <w:rsid w:val="00425D49"/>
    <w:rsid w:val="004265FB"/>
    <w:rsid w:val="00430982"/>
    <w:rsid w:val="00431FFA"/>
    <w:rsid w:val="00432E84"/>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9667A"/>
    <w:rsid w:val="004B4335"/>
    <w:rsid w:val="004B5C0C"/>
    <w:rsid w:val="004D3C54"/>
    <w:rsid w:val="004D40C5"/>
    <w:rsid w:val="004D57AC"/>
    <w:rsid w:val="004D5B32"/>
    <w:rsid w:val="004F4D12"/>
    <w:rsid w:val="005002F2"/>
    <w:rsid w:val="005017A6"/>
    <w:rsid w:val="005060AE"/>
    <w:rsid w:val="00522744"/>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20BAE"/>
    <w:rsid w:val="00630C24"/>
    <w:rsid w:val="006329AC"/>
    <w:rsid w:val="0064112E"/>
    <w:rsid w:val="00645DD2"/>
    <w:rsid w:val="006501B3"/>
    <w:rsid w:val="0065034A"/>
    <w:rsid w:val="0065287A"/>
    <w:rsid w:val="0066653B"/>
    <w:rsid w:val="00680500"/>
    <w:rsid w:val="0068554C"/>
    <w:rsid w:val="00690FAC"/>
    <w:rsid w:val="00695700"/>
    <w:rsid w:val="00696619"/>
    <w:rsid w:val="006A366E"/>
    <w:rsid w:val="006A5EB0"/>
    <w:rsid w:val="006A7EA6"/>
    <w:rsid w:val="006C00F6"/>
    <w:rsid w:val="006C43FA"/>
    <w:rsid w:val="006C6AB9"/>
    <w:rsid w:val="006C73CD"/>
    <w:rsid w:val="006D41D9"/>
    <w:rsid w:val="006E0797"/>
    <w:rsid w:val="006E4D94"/>
    <w:rsid w:val="006E6885"/>
    <w:rsid w:val="006E73A1"/>
    <w:rsid w:val="006F1FCA"/>
    <w:rsid w:val="006F58F0"/>
    <w:rsid w:val="006F6978"/>
    <w:rsid w:val="006F6DCE"/>
    <w:rsid w:val="006F701E"/>
    <w:rsid w:val="006F7788"/>
    <w:rsid w:val="00701CEE"/>
    <w:rsid w:val="00703B6D"/>
    <w:rsid w:val="00704C4F"/>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161B3"/>
    <w:rsid w:val="00821161"/>
    <w:rsid w:val="00825485"/>
    <w:rsid w:val="00825EF8"/>
    <w:rsid w:val="0082785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059D0"/>
    <w:rsid w:val="009124AF"/>
    <w:rsid w:val="00913130"/>
    <w:rsid w:val="00921816"/>
    <w:rsid w:val="009247DB"/>
    <w:rsid w:val="00932FDC"/>
    <w:rsid w:val="00937D4D"/>
    <w:rsid w:val="00942719"/>
    <w:rsid w:val="00944B54"/>
    <w:rsid w:val="0094527C"/>
    <w:rsid w:val="009509BB"/>
    <w:rsid w:val="0096444A"/>
    <w:rsid w:val="00964CFF"/>
    <w:rsid w:val="00965F5E"/>
    <w:rsid w:val="009672BD"/>
    <w:rsid w:val="00976399"/>
    <w:rsid w:val="009863FE"/>
    <w:rsid w:val="0098745C"/>
    <w:rsid w:val="009A075E"/>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471D"/>
    <w:rsid w:val="00A45199"/>
    <w:rsid w:val="00A54193"/>
    <w:rsid w:val="00A54ECE"/>
    <w:rsid w:val="00A61993"/>
    <w:rsid w:val="00A64637"/>
    <w:rsid w:val="00A64C03"/>
    <w:rsid w:val="00A66B1D"/>
    <w:rsid w:val="00A71266"/>
    <w:rsid w:val="00A7706D"/>
    <w:rsid w:val="00A77D1A"/>
    <w:rsid w:val="00A8131F"/>
    <w:rsid w:val="00A908A8"/>
    <w:rsid w:val="00A92515"/>
    <w:rsid w:val="00A926FA"/>
    <w:rsid w:val="00A94871"/>
    <w:rsid w:val="00AA0419"/>
    <w:rsid w:val="00AA78C6"/>
    <w:rsid w:val="00AC4FA6"/>
    <w:rsid w:val="00AD1928"/>
    <w:rsid w:val="00AD3E81"/>
    <w:rsid w:val="00AE7045"/>
    <w:rsid w:val="00AF27D6"/>
    <w:rsid w:val="00AF4F99"/>
    <w:rsid w:val="00AF53F7"/>
    <w:rsid w:val="00AF6D68"/>
    <w:rsid w:val="00B00E15"/>
    <w:rsid w:val="00B017AA"/>
    <w:rsid w:val="00B01945"/>
    <w:rsid w:val="00B14987"/>
    <w:rsid w:val="00B201CF"/>
    <w:rsid w:val="00B20591"/>
    <w:rsid w:val="00B21C57"/>
    <w:rsid w:val="00B247EE"/>
    <w:rsid w:val="00B27C62"/>
    <w:rsid w:val="00B3483C"/>
    <w:rsid w:val="00B46026"/>
    <w:rsid w:val="00B51365"/>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379D4"/>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16D2E"/>
    <w:rsid w:val="00D24B34"/>
    <w:rsid w:val="00D30DF0"/>
    <w:rsid w:val="00D37C7D"/>
    <w:rsid w:val="00D42E3D"/>
    <w:rsid w:val="00D44ED9"/>
    <w:rsid w:val="00D45CEA"/>
    <w:rsid w:val="00D4715F"/>
    <w:rsid w:val="00D4768D"/>
    <w:rsid w:val="00D53077"/>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5BF7"/>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333B8"/>
    <w:rsid w:val="00F4616C"/>
    <w:rsid w:val="00F57D34"/>
    <w:rsid w:val="00F57E3E"/>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E52A0"/>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2020-11-27T19:41:00Z</cp:lastPrinted>
  <dcterms:created xsi:type="dcterms:W3CDTF">2020-11-27T19:41:00Z</dcterms:created>
  <dcterms:modified xsi:type="dcterms:W3CDTF">2020-11-27T19:42:00Z</dcterms:modified>
</cp:coreProperties>
</file>