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54E0DB4E" w:rsidR="00690FAC" w:rsidRDefault="0035369E" w:rsidP="009E1849">
                            <w:pPr>
                              <w:jc w:val="center"/>
                              <w:rPr>
                                <w:rFonts w:ascii="Century Gothic" w:hAnsi="Century Gothic"/>
                                <w:b/>
                                <w:lang w:val="es-ES"/>
                              </w:rPr>
                            </w:pPr>
                            <w:r>
                              <w:rPr>
                                <w:rFonts w:ascii="Century Gothic" w:hAnsi="Century Gothic"/>
                                <w:b/>
                                <w:lang w:val="es-ES"/>
                              </w:rPr>
                              <w:t>BOLETIN DE PRENSA</w:t>
                            </w:r>
                            <w:r w:rsidR="006C0272">
                              <w:rPr>
                                <w:rFonts w:ascii="Century Gothic" w:hAnsi="Century Gothic"/>
                                <w:b/>
                                <w:lang w:val="es-ES"/>
                              </w:rPr>
                              <w:t xml:space="preserve"> 296</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54E0DB4E" w:rsidR="00690FAC" w:rsidRDefault="0035369E" w:rsidP="009E1849">
                      <w:pPr>
                        <w:jc w:val="center"/>
                        <w:rPr>
                          <w:rFonts w:ascii="Century Gothic" w:hAnsi="Century Gothic"/>
                          <w:b/>
                          <w:lang w:val="es-ES"/>
                        </w:rPr>
                      </w:pPr>
                      <w:r>
                        <w:rPr>
                          <w:rFonts w:ascii="Century Gothic" w:hAnsi="Century Gothic"/>
                          <w:b/>
                          <w:lang w:val="es-ES"/>
                        </w:rPr>
                        <w:t>BOLETIN DE PRENSA</w:t>
                      </w:r>
                      <w:r w:rsidR="006C0272">
                        <w:rPr>
                          <w:rFonts w:ascii="Century Gothic" w:hAnsi="Century Gothic"/>
                          <w:b/>
                          <w:lang w:val="es-ES"/>
                        </w:rPr>
                        <w:t xml:space="preserve"> 296</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45F9DDF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6C0272">
                              <w:rPr>
                                <w:rFonts w:ascii="Century Gothic" w:hAnsi="Century Gothic"/>
                                <w:color w:val="385623" w:themeColor="accent6" w:themeShade="80"/>
                                <w:sz w:val="22"/>
                                <w:szCs w:val="22"/>
                                <w:lang w:val="es-ES"/>
                              </w:rPr>
                              <w:t>04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45F9DDF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6C0272">
                        <w:rPr>
                          <w:rFonts w:ascii="Century Gothic" w:hAnsi="Century Gothic"/>
                          <w:color w:val="385623" w:themeColor="accent6" w:themeShade="80"/>
                          <w:sz w:val="22"/>
                          <w:szCs w:val="22"/>
                          <w:lang w:val="es-ES"/>
                        </w:rPr>
                        <w:t>04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378D8119" w14:textId="77777777" w:rsidR="006C0272" w:rsidRPr="006C0272" w:rsidRDefault="006C0272" w:rsidP="006C0272">
      <w:pPr>
        <w:jc w:val="center"/>
        <w:rPr>
          <w:rFonts w:ascii="Century Gothic" w:hAnsi="Century Gothic" w:cs="Times New Roman"/>
          <w:b/>
          <w:sz w:val="22"/>
        </w:rPr>
      </w:pPr>
      <w:bookmarkStart w:id="0" w:name="_GoBack"/>
      <w:r w:rsidRPr="006C0272">
        <w:rPr>
          <w:rFonts w:ascii="Century Gothic" w:hAnsi="Century Gothic" w:cs="Times New Roman"/>
          <w:b/>
          <w:sz w:val="22"/>
        </w:rPr>
        <w:t>Ambato continúa en semáforo amarillo</w:t>
      </w:r>
    </w:p>
    <w:bookmarkEnd w:id="0"/>
    <w:p w14:paraId="4A9E6F67" w14:textId="77777777" w:rsidR="006C0272" w:rsidRPr="006C0272" w:rsidRDefault="006C0272" w:rsidP="006C0272">
      <w:pPr>
        <w:jc w:val="both"/>
        <w:rPr>
          <w:rFonts w:ascii="Century Gothic" w:hAnsi="Century Gothic" w:cs="Times New Roman"/>
          <w:b/>
          <w:sz w:val="22"/>
        </w:rPr>
      </w:pPr>
    </w:p>
    <w:p w14:paraId="3B249BA8" w14:textId="11F38B8D"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En sesión virtual del Comité de Operaciones Emergentes (COE) Cantonal, de este viernes 04 de diciembre, presidida por el alcalde de Ambato, Dr. Javier Altamirano Sánchez, se resolvió continuar en semáforo epidemiológico amarillo en el cantón, durante la semana del lunes 07 al domingo 13 de diciembre del 2020.</w:t>
      </w:r>
    </w:p>
    <w:p w14:paraId="473D6D19" w14:textId="77777777" w:rsidR="006C0272" w:rsidRPr="006C0272" w:rsidRDefault="006C0272" w:rsidP="006C0272">
      <w:pPr>
        <w:jc w:val="both"/>
        <w:rPr>
          <w:rFonts w:ascii="Century Gothic" w:hAnsi="Century Gothic" w:cs="Times New Roman"/>
          <w:sz w:val="22"/>
        </w:rPr>
      </w:pPr>
    </w:p>
    <w:p w14:paraId="067462B0" w14:textId="1A8F3FDC"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Permanece la restricción de movilidad en cuanto a vehículos particulares en horario de 21:00 a 05:00, así como el expendio y consumo de licor los días 24, 25, 26 y 31 de diciembre de 2020, 1 y 2 de enero de 2021 en el cantón Ambato. Las personas que infrinjan la normativa serán sancionadas, al igual que los vehículos, de acuerdo con la Ordenanza de Bioseguridad vigente.</w:t>
      </w:r>
    </w:p>
    <w:p w14:paraId="0491A45B" w14:textId="77777777" w:rsidR="006C0272" w:rsidRPr="006C0272" w:rsidRDefault="006C0272" w:rsidP="006C0272">
      <w:pPr>
        <w:jc w:val="both"/>
        <w:rPr>
          <w:rFonts w:ascii="Century Gothic" w:hAnsi="Century Gothic" w:cs="Times New Roman"/>
          <w:sz w:val="22"/>
        </w:rPr>
      </w:pPr>
    </w:p>
    <w:p w14:paraId="39FAA792" w14:textId="287230C4"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 xml:space="preserve">De acuerdo a una solicitud presentada por el Concejo Cantonal de Turismo, la mesa técnica #2 </w:t>
      </w:r>
      <w:r w:rsidRPr="006C0272">
        <w:rPr>
          <w:rFonts w:ascii="Century Gothic" w:hAnsi="Century Gothic" w:cs="Times New Roman"/>
          <w:sz w:val="22"/>
        </w:rPr>
        <w:t>y la</w:t>
      </w:r>
      <w:r w:rsidRPr="006C0272">
        <w:rPr>
          <w:rFonts w:ascii="Century Gothic" w:hAnsi="Century Gothic" w:cs="Times New Roman"/>
          <w:sz w:val="22"/>
        </w:rPr>
        <w:t xml:space="preserve"> Dirección de Servicios Públicos en sesión extraordinaria, analizarán la ampliación del aforo al 50% para restaurantes y cafeterías, así como el 75% para el sector hotelero. De la misma manera se evaluará la venta y comercialización de monigotes en el espacio público. Dicha sesión se cumplirá la tarde de este viernes, e inmediatamente se dará a conocer su informe al COE Cantonal quien en sesión extraordinaria a cumplirse este fin de semana tomará una decisión final al respecto de estos temas.</w:t>
      </w:r>
    </w:p>
    <w:p w14:paraId="54EFDAEC" w14:textId="77777777" w:rsidR="006C0272" w:rsidRPr="006C0272" w:rsidRDefault="006C0272" w:rsidP="006C0272">
      <w:pPr>
        <w:jc w:val="both"/>
        <w:rPr>
          <w:rFonts w:ascii="Century Gothic" w:hAnsi="Century Gothic" w:cs="Times New Roman"/>
          <w:sz w:val="22"/>
        </w:rPr>
      </w:pPr>
    </w:p>
    <w:p w14:paraId="5FFB5744" w14:textId="10AE7F02"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 xml:space="preserve">Se mantienen las medidas de control y restricciones en cuanto a actividades propias de Navidad y Año Nuevo, que conllevan reuniones y aglomeraciones, por lo que continúan prohibidas las fiestas temáticas, pases del niño, novenas, viudas, concursos, venta y quema de años viejos en la vía pública, así como, la distribución y comercialización de fuegos pirotécnicos, las ferias informales y comercialización de productos en las calles. </w:t>
      </w:r>
    </w:p>
    <w:p w14:paraId="114B1917" w14:textId="77777777" w:rsidR="006C0272" w:rsidRPr="006C0272" w:rsidRDefault="006C0272" w:rsidP="006C0272">
      <w:pPr>
        <w:jc w:val="both"/>
        <w:rPr>
          <w:rFonts w:ascii="Century Gothic" w:hAnsi="Century Gothic" w:cs="Times New Roman"/>
          <w:sz w:val="22"/>
        </w:rPr>
      </w:pPr>
    </w:p>
    <w:p w14:paraId="484FB3A1" w14:textId="090E4506"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De acuerdo al informe presentado del Ministerio de Salud Pública del Ecuador, que alerta sobre el aumento de contagios en Ambato, existe un total de 4192 casos confirmados de Covid-19 en la ciudad, la curva epidemiológica se mantiene en crecimiento con un nivel de virulencia alto.</w:t>
      </w:r>
    </w:p>
    <w:p w14:paraId="037ABD77" w14:textId="77777777" w:rsidR="006C0272" w:rsidRPr="006C0272" w:rsidRDefault="006C0272" w:rsidP="006C0272">
      <w:pPr>
        <w:jc w:val="both"/>
        <w:rPr>
          <w:rFonts w:ascii="Century Gothic" w:hAnsi="Century Gothic" w:cs="Times New Roman"/>
          <w:sz w:val="22"/>
        </w:rPr>
      </w:pPr>
    </w:p>
    <w:p w14:paraId="34AAFEDB" w14:textId="19F91EF1"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 xml:space="preserve">En el Hospital General Docente Ambato y Hospital del Instituto Ecuatoriano de Seguridad Social, las camas de la Unidad de Cuidados Intensivos y hospitalización general se encuentran al 88% de ocupación, se </w:t>
      </w:r>
      <w:r w:rsidRPr="006C0272">
        <w:rPr>
          <w:rFonts w:ascii="Century Gothic" w:hAnsi="Century Gothic" w:cs="Times New Roman"/>
          <w:sz w:val="22"/>
        </w:rPr>
        <w:t>recomienda evitar</w:t>
      </w:r>
      <w:r w:rsidRPr="006C0272">
        <w:rPr>
          <w:rFonts w:ascii="Century Gothic" w:hAnsi="Century Gothic" w:cs="Times New Roman"/>
          <w:sz w:val="22"/>
        </w:rPr>
        <w:t xml:space="preserve"> las aglomeraciones, por cuanto la movilidad humana promueve el avance del virus, se indicó.</w:t>
      </w:r>
    </w:p>
    <w:p w14:paraId="5B846556" w14:textId="77777777" w:rsidR="006C0272" w:rsidRPr="006C0272" w:rsidRDefault="006C0272" w:rsidP="006C0272">
      <w:pPr>
        <w:jc w:val="both"/>
        <w:rPr>
          <w:rFonts w:ascii="Century Gothic" w:hAnsi="Century Gothic" w:cs="Times New Roman"/>
          <w:sz w:val="22"/>
        </w:rPr>
      </w:pPr>
    </w:p>
    <w:p w14:paraId="3AD66379" w14:textId="77777777"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 xml:space="preserve">El Ing. Héctor Cobo, jefe de la Unidad de Gestión de Riesgos de la municipalidad (UGR), expresó que en el marco del proyecto “Mi Negocio Seguro” se visitaron </w:t>
      </w:r>
    </w:p>
    <w:p w14:paraId="6416A4E2" w14:textId="77777777" w:rsidR="006C0272" w:rsidRPr="006C0272" w:rsidRDefault="006C0272" w:rsidP="006C0272">
      <w:pPr>
        <w:jc w:val="both"/>
        <w:rPr>
          <w:rFonts w:ascii="Century Gothic" w:hAnsi="Century Gothic" w:cs="Times New Roman"/>
          <w:sz w:val="22"/>
        </w:rPr>
      </w:pPr>
    </w:p>
    <w:p w14:paraId="15C0709C" w14:textId="77777777" w:rsidR="006C0272" w:rsidRPr="006C0272" w:rsidRDefault="006C0272" w:rsidP="006C0272">
      <w:pPr>
        <w:jc w:val="both"/>
        <w:rPr>
          <w:rFonts w:ascii="Century Gothic" w:hAnsi="Century Gothic" w:cs="Times New Roman"/>
          <w:sz w:val="22"/>
        </w:rPr>
      </w:pPr>
    </w:p>
    <w:p w14:paraId="0B29BDBF" w14:textId="77777777" w:rsidR="006C0272" w:rsidRPr="006C0272" w:rsidRDefault="006C0272" w:rsidP="006C0272">
      <w:pPr>
        <w:jc w:val="both"/>
        <w:rPr>
          <w:rFonts w:ascii="Century Gothic" w:hAnsi="Century Gothic" w:cs="Times New Roman"/>
          <w:sz w:val="22"/>
        </w:rPr>
      </w:pPr>
    </w:p>
    <w:p w14:paraId="306F18B2" w14:textId="77777777" w:rsidR="006C0272" w:rsidRPr="006C0272" w:rsidRDefault="006C0272" w:rsidP="006C0272">
      <w:pPr>
        <w:jc w:val="both"/>
        <w:rPr>
          <w:rFonts w:ascii="Century Gothic" w:hAnsi="Century Gothic" w:cs="Times New Roman"/>
          <w:sz w:val="22"/>
        </w:rPr>
      </w:pPr>
    </w:p>
    <w:p w14:paraId="46AB7691" w14:textId="77777777" w:rsidR="006C0272" w:rsidRPr="006C0272" w:rsidRDefault="006C0272" w:rsidP="006C0272">
      <w:pPr>
        <w:jc w:val="both"/>
        <w:rPr>
          <w:rFonts w:ascii="Century Gothic" w:hAnsi="Century Gothic" w:cs="Times New Roman"/>
          <w:sz w:val="22"/>
        </w:rPr>
      </w:pPr>
    </w:p>
    <w:p w14:paraId="1EFFE975" w14:textId="3AF06EB2" w:rsidR="006C0272"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en la última semana 475 locales comerciales de la ciudad, de los cuales 72 cumplieron las medidas de bioseguridad establecidas, mientras que el resto fueron notificados a los propietarios para que elaboren sus planes de contingencia.</w:t>
      </w:r>
    </w:p>
    <w:p w14:paraId="34D36A39" w14:textId="77777777" w:rsidR="006C0272" w:rsidRPr="006C0272" w:rsidRDefault="006C0272" w:rsidP="006C0272">
      <w:pPr>
        <w:jc w:val="both"/>
        <w:rPr>
          <w:rFonts w:ascii="Century Gothic" w:hAnsi="Century Gothic" w:cs="Times New Roman"/>
          <w:sz w:val="22"/>
        </w:rPr>
      </w:pPr>
    </w:p>
    <w:p w14:paraId="40C42820" w14:textId="2D9ED218" w:rsidR="0035369E" w:rsidRPr="006C0272" w:rsidRDefault="006C0272" w:rsidP="006C0272">
      <w:pPr>
        <w:jc w:val="both"/>
        <w:rPr>
          <w:rFonts w:ascii="Century Gothic" w:hAnsi="Century Gothic" w:cs="Times New Roman"/>
          <w:sz w:val="22"/>
        </w:rPr>
      </w:pPr>
      <w:r w:rsidRPr="006C0272">
        <w:rPr>
          <w:rFonts w:ascii="Century Gothic" w:hAnsi="Century Gothic" w:cs="Times New Roman"/>
          <w:sz w:val="22"/>
        </w:rPr>
        <w:t>Son las parroquias de La Matriz, Huachi Chico y Huachi Loreto las de mayor reincidencia en cuanto a las emergencias o alertas reportadas al ECU-911, con un incremento de aglomeraciones, escándalos públicos, consumo de licor, fiestas clandestinas, violencia intrafamiliar y agresiones.</w:t>
      </w:r>
    </w:p>
    <w:p w14:paraId="40EE9DD6" w14:textId="77777777" w:rsidR="006C0272" w:rsidRPr="00696619" w:rsidRDefault="006C0272" w:rsidP="006C0272">
      <w:pPr>
        <w:jc w:val="both"/>
        <w:rPr>
          <w:rFonts w:cs="Times New Roman"/>
        </w:rPr>
      </w:pPr>
    </w:p>
    <w:p w14:paraId="2FDAE733" w14:textId="65A49B6B" w:rsidR="00D4715F" w:rsidRPr="0035369E" w:rsidRDefault="00696619" w:rsidP="00696619">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2DE1" w14:textId="77777777" w:rsidR="003C1B74" w:rsidRDefault="003C1B74" w:rsidP="00411730">
      <w:r>
        <w:separator/>
      </w:r>
    </w:p>
  </w:endnote>
  <w:endnote w:type="continuationSeparator" w:id="0">
    <w:p w14:paraId="57991F71" w14:textId="77777777" w:rsidR="003C1B74" w:rsidRDefault="003C1B7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7488" w14:textId="77777777" w:rsidR="003C1B74" w:rsidRDefault="003C1B74" w:rsidP="00411730">
      <w:r>
        <w:separator/>
      </w:r>
    </w:p>
  </w:footnote>
  <w:footnote w:type="continuationSeparator" w:id="0">
    <w:p w14:paraId="43715DFC" w14:textId="77777777" w:rsidR="003C1B74" w:rsidRDefault="003C1B7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1B74"/>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C0272"/>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2020-12-04T20:03:00Z</dcterms:created>
  <dcterms:modified xsi:type="dcterms:W3CDTF">2020-12-04T20:03:00Z</dcterms:modified>
</cp:coreProperties>
</file>