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8C" w:rsidRDefault="00FD4C8C" w:rsidP="00FD4C8C">
      <w:pPr>
        <w:jc w:val="both"/>
        <w:rPr>
          <w:rFonts w:ascii="Century Gothic" w:hAnsi="Century Gothic" w:cstheme="minorBidi"/>
          <w:b/>
        </w:rPr>
      </w:pPr>
      <w:r>
        <w:rPr>
          <w:rFonts w:ascii="Century Gothic" w:hAnsi="Century Gothic" w:cstheme="minorBidi"/>
          <w:b/>
        </w:rPr>
        <w:t xml:space="preserve">ACCIONES POR IMPLEMENTARSE </w:t>
      </w:r>
    </w:p>
    <w:tbl>
      <w:tblPr>
        <w:tblStyle w:val="Tablaconcuadrcula"/>
        <w:tblW w:w="5000" w:type="pct"/>
        <w:tblInd w:w="0" w:type="dxa"/>
        <w:tblLook w:val="04A0"/>
      </w:tblPr>
      <w:tblGrid>
        <w:gridCol w:w="1626"/>
        <w:gridCol w:w="2928"/>
        <w:gridCol w:w="4166"/>
      </w:tblGrid>
      <w:tr w:rsidR="00FD4C8C" w:rsidTr="00FD4C8C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  <w:b/>
                <w:color w:val="FFFFFF" w:themeColor="background1"/>
              </w:rPr>
            </w:pPr>
            <w:r>
              <w:rPr>
                <w:rFonts w:ascii="Century Gothic" w:hAnsi="Century Gothic" w:cstheme="minorBidi"/>
                <w:b/>
                <w:color w:val="FFFFFF" w:themeColor="background1"/>
              </w:rPr>
              <w:t>EJES DE ACCIÓN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  <w:b/>
                <w:color w:val="FFFFFF" w:themeColor="background1"/>
              </w:rPr>
            </w:pPr>
            <w:r>
              <w:rPr>
                <w:rFonts w:ascii="Century Gothic" w:hAnsi="Century Gothic" w:cstheme="minorBidi"/>
                <w:b/>
                <w:color w:val="FFFFFF" w:themeColor="background1"/>
              </w:rPr>
              <w:t>FUNCIÓN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FD4C8C" w:rsidRDefault="00FD4C8C">
            <w:pPr>
              <w:jc w:val="center"/>
              <w:rPr>
                <w:rFonts w:ascii="Century Gothic" w:hAnsi="Century Gothic" w:cstheme="minorBidi"/>
                <w:b/>
                <w:color w:val="FFFFFF" w:themeColor="background1"/>
              </w:rPr>
            </w:pPr>
            <w:r>
              <w:rPr>
                <w:rFonts w:ascii="Century Gothic" w:hAnsi="Century Gothic" w:cstheme="minorBidi"/>
                <w:b/>
                <w:color w:val="FFFFFF" w:themeColor="background1"/>
              </w:rPr>
              <w:t>DESCRIPCIÓN</w:t>
            </w:r>
          </w:p>
        </w:tc>
      </w:tr>
      <w:tr w:rsidR="00FD4C8C" w:rsidTr="00FD4C8C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3"/>
                <w:szCs w:val="23"/>
              </w:rPr>
              <w:t>Salud Pública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Cerco cantonal (Arcos de desinfección en los límites de la ciudad).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4 Arcos de desinfección. </w:t>
            </w:r>
          </w:p>
        </w:tc>
      </w:tr>
      <w:tr w:rsidR="00FD4C8C" w:rsidTr="00FD4C8C"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Bienestar Social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Señalética horizontal y vertical.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Para control vehicular en el CTA.</w:t>
            </w:r>
          </w:p>
        </w:tc>
      </w:tr>
      <w:tr w:rsidR="00FD4C8C" w:rsidTr="00FD4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spacing w:after="0" w:line="240" w:lineRule="auto"/>
              <w:rPr>
                <w:rFonts w:ascii="Century Gothic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Activación del Comité de Crisis.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Plan de transición hacia la nueva normalidad.  </w:t>
            </w:r>
          </w:p>
        </w:tc>
      </w:tr>
      <w:tr w:rsidR="00FD4C8C" w:rsidTr="00FD4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spacing w:after="0" w:line="240" w:lineRule="auto"/>
              <w:rPr>
                <w:rFonts w:ascii="Century Gothic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Apoyo permanente a grupos prioritarios.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Atención, asistencias, acompañamiento.</w:t>
            </w:r>
          </w:p>
        </w:tc>
      </w:tr>
      <w:tr w:rsidR="00FD4C8C" w:rsidTr="00FD4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spacing w:after="0" w:line="240" w:lineRule="auto"/>
              <w:rPr>
                <w:rFonts w:ascii="Century Gothic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Activación de comité ejecutivo provincial (Presidido por: Acalde de Ambato, Secretario: Director STDE y miembros del comité  Prefecto alcaldes cantonales Tungurahua).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Criterios de cambios semafóricos y reactivación económica a nivel provincial. </w:t>
            </w:r>
          </w:p>
        </w:tc>
      </w:tr>
      <w:tr w:rsidR="00FD4C8C" w:rsidTr="00FD4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spacing w:after="0" w:line="240" w:lineRule="auto"/>
              <w:rPr>
                <w:rFonts w:ascii="Century Gothic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Formulación de la ordenanza de Gestión de Riesgos.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Contar con un instrumento normativo que viabilice el desarrollo y ejecución del Sistema Cantonal Descentralizado de Gestión de Riesgos.</w:t>
            </w:r>
          </w:p>
        </w:tc>
      </w:tr>
      <w:tr w:rsidR="00FD4C8C" w:rsidTr="00FD4C8C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Actividad Económica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Plan de reactivación económica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Elaboración del nuevo modelo de gestión de negocios de CTA y proceso de comercialización parroquial.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Plan de reactivación agrícola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Plan de reactivación industrial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Plan de reactivación comercial</w:t>
            </w:r>
          </w:p>
        </w:tc>
      </w:tr>
      <w:tr w:rsidR="00FD4C8C" w:rsidTr="00FD4C8C"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Movilidad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Plan de movilidad post confinamiento (definición de rutas, nuevas modalidades de transporte, definición de nuevas herramientas tecnológicas).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Gestión y manejo de información dinámica en el transporte público (creación  de aplicaciones)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Evaluación del tipo de transporte que se ajusta a las necesidades de la restricción de movilidad. 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Estrategia para manejo de conflicto de operadores de transporte (evaluación </w:t>
            </w:r>
            <w:r>
              <w:rPr>
                <w:rFonts w:ascii="Century Gothic" w:hAnsi="Century Gothic" w:cstheme="minorBidi"/>
              </w:rPr>
              <w:lastRenderedPageBreak/>
              <w:t>del subsidio).</w:t>
            </w:r>
          </w:p>
          <w:p w:rsidR="00FD4C8C" w:rsidRDefault="00FD4C8C">
            <w:pPr>
              <w:pBdr>
                <w:bottom w:val="single" w:sz="6" w:space="1" w:color="auto"/>
              </w:pBd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Estrategia para generar alianza públicas privadas con las operadoras de transporte.</w:t>
            </w:r>
          </w:p>
        </w:tc>
      </w:tr>
      <w:tr w:rsidR="00FD4C8C" w:rsidTr="00FD4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spacing w:after="0" w:line="240" w:lineRule="auto"/>
              <w:rPr>
                <w:rFonts w:ascii="Century Gothic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Infraestructura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Desarrollo de plataformas tecnológicas como mecanismo de mitigar el riesgo de contagio.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Generar circuitos desde la lógica municipal para habilita micro-rutas alternativa inicial (para la dualidad dinámica)  evaluar la dinámica por las  5 plataforma que están diferenciadas, la conectividad entre ellas. 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</w:p>
        </w:tc>
      </w:tr>
      <w:tr w:rsidR="00FD4C8C" w:rsidTr="00FD4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spacing w:after="0" w:line="240" w:lineRule="auto"/>
              <w:rPr>
                <w:rFonts w:ascii="Century Gothic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Participación ciudadana.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Generar opiniones, (un big data de la opinión ciudadana.) 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Generar estrategias para poder llegar a la ciudadanía, por la restricción de movilidad y asociación. (Gobernanza).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Apertura canales de comunicación para llegar a la ciudadanía.</w:t>
            </w:r>
          </w:p>
          <w:p w:rsidR="00FD4C8C" w:rsidRDefault="00FD4C8C">
            <w:pPr>
              <w:jc w:val="both"/>
              <w:rPr>
                <w:rFonts w:ascii="Century Gothic" w:hAnsi="Century Gothic" w:cstheme="minorBidi"/>
              </w:rPr>
            </w:pPr>
          </w:p>
        </w:tc>
      </w:tr>
      <w:tr w:rsidR="00FD4C8C" w:rsidTr="00FD4C8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8C" w:rsidRDefault="00FD4C8C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PDOT-PUGS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Pacificar la ciudad. Definir cuáles son las zonas 30, presentes y futuras, Implementar carriles compartidos.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Análisis de crecimiento poblacional al 2050. 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Nuevas tendencia laborales, donde se van a localizar los nuevos polos de desarrollo. 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Donde deben proyectarse las nuevas edificaciones y los movimientos sociales. </w:t>
            </w:r>
          </w:p>
          <w:p w:rsidR="00FD4C8C" w:rsidRDefault="00FD4C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Tipo de vivienda en Ambato. Proceso de investigación (Urbanista, ecologista, soberanía alimentaria en el tema de crisis).</w:t>
            </w:r>
          </w:p>
        </w:tc>
      </w:tr>
    </w:tbl>
    <w:p w:rsidR="00F94BF7" w:rsidRDefault="00F94BF7"/>
    <w:sectPr w:rsidR="00F94BF7" w:rsidSect="007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D8" w:rsidRDefault="009C47D8" w:rsidP="00C34D79">
      <w:pPr>
        <w:spacing w:after="0" w:line="240" w:lineRule="auto"/>
      </w:pPr>
      <w:r>
        <w:separator/>
      </w:r>
    </w:p>
  </w:endnote>
  <w:endnote w:type="continuationSeparator" w:id="1">
    <w:p w:rsidR="009C47D8" w:rsidRDefault="009C47D8" w:rsidP="00C3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D8" w:rsidRDefault="009C47D8" w:rsidP="00C34D79">
      <w:pPr>
        <w:spacing w:after="0" w:line="240" w:lineRule="auto"/>
      </w:pPr>
      <w:r>
        <w:separator/>
      </w:r>
    </w:p>
  </w:footnote>
  <w:footnote w:type="continuationSeparator" w:id="1">
    <w:p w:rsidR="009C47D8" w:rsidRDefault="009C47D8" w:rsidP="00C34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C8C"/>
    <w:rsid w:val="00773677"/>
    <w:rsid w:val="009C47D8"/>
    <w:rsid w:val="00C34D79"/>
    <w:rsid w:val="00DB4C71"/>
    <w:rsid w:val="00F94BF7"/>
    <w:rsid w:val="00FD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4C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34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4D7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C34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4D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Leandro Zuñiga Quesada MA-SE</dc:creator>
  <cp:keywords/>
  <dc:description/>
  <cp:lastModifiedBy>setecnico03</cp:lastModifiedBy>
  <cp:revision>3</cp:revision>
  <dcterms:created xsi:type="dcterms:W3CDTF">2020-05-07T22:32:00Z</dcterms:created>
  <dcterms:modified xsi:type="dcterms:W3CDTF">2020-05-08T13:58:00Z</dcterms:modified>
</cp:coreProperties>
</file>