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6F6DCE">
                              <w:rPr>
                                <w:rFonts w:ascii="Century Gothic" w:hAnsi="Century Gothic"/>
                                <w:b/>
                                <w:lang w:val="es-ES"/>
                              </w:rPr>
                              <w:t>266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6F6DCE">
                        <w:rPr>
                          <w:rFonts w:ascii="Century Gothic" w:hAnsi="Century Gothic"/>
                          <w:b/>
                          <w:lang w:val="es-ES"/>
                        </w:rPr>
                        <w:t>266</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B5C0C">
                              <w:rPr>
                                <w:rFonts w:ascii="Century Gothic" w:hAnsi="Century Gothic"/>
                                <w:color w:val="385623" w:themeColor="accent6" w:themeShade="80"/>
                                <w:sz w:val="22"/>
                                <w:szCs w:val="22"/>
                                <w:lang w:val="es-ES"/>
                              </w:rPr>
                              <w:t>27</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B5C0C">
                        <w:rPr>
                          <w:rFonts w:ascii="Century Gothic" w:hAnsi="Century Gothic"/>
                          <w:color w:val="385623" w:themeColor="accent6" w:themeShade="80"/>
                          <w:sz w:val="22"/>
                          <w:szCs w:val="22"/>
                          <w:lang w:val="es-ES"/>
                        </w:rPr>
                        <w:t>27</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6F6DCE" w:rsidRDefault="006F6DCE" w:rsidP="006F6DCE">
      <w:pPr>
        <w:jc w:val="center"/>
        <w:rPr>
          <w:rFonts w:ascii="Century Gothic" w:hAnsi="Century Gothic"/>
          <w:b/>
          <w:sz w:val="20"/>
          <w:lang w:val="es-ES"/>
        </w:rPr>
      </w:pPr>
      <w:bookmarkStart w:id="0" w:name="_GoBack"/>
      <w:r w:rsidRPr="006F6DCE">
        <w:rPr>
          <w:rFonts w:ascii="Century Gothic" w:hAnsi="Century Gothic"/>
          <w:b/>
          <w:sz w:val="20"/>
          <w:lang w:val="es-ES"/>
        </w:rPr>
        <w:t xml:space="preserve">Concejo Municipal conoció distinciones para el 12 de </w:t>
      </w:r>
      <w:proofErr w:type="gramStart"/>
      <w:r w:rsidRPr="006F6DCE">
        <w:rPr>
          <w:rFonts w:ascii="Century Gothic" w:hAnsi="Century Gothic"/>
          <w:b/>
          <w:sz w:val="20"/>
          <w:lang w:val="es-ES"/>
        </w:rPr>
        <w:t>Noviembre</w:t>
      </w:r>
      <w:proofErr w:type="gramEnd"/>
    </w:p>
    <w:bookmarkEnd w:id="0"/>
    <w:p w:rsidR="006F6DCE" w:rsidRPr="006F6DCE" w:rsidRDefault="006F6DCE" w:rsidP="006F6DCE">
      <w:pPr>
        <w:jc w:val="both"/>
        <w:rPr>
          <w:rFonts w:ascii="Century Gothic" w:hAnsi="Century Gothic"/>
          <w:b/>
          <w:sz w:val="20"/>
          <w:lang w:val="es-ES"/>
        </w:rPr>
      </w:pP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El Concejo Cantonal de Ambato, en sesión ordinaria presencial de este martes 27 de octubre, conoció el Informe de la Comisión para la Designación de las Distinciones Juan Montalvo, Juan León Mera y Juan Benigno Vela, según lo estipula la Ordenanza de Conmemoración de la Independencia de Ambato ‘Sol de Noviembre’, en su Título II.</w:t>
      </w:r>
    </w:p>
    <w:p w:rsidR="006F6DCE" w:rsidRPr="006F6DCE" w:rsidRDefault="006F6DCE" w:rsidP="006F6DCE">
      <w:pPr>
        <w:jc w:val="both"/>
        <w:rPr>
          <w:rFonts w:ascii="Century Gothic" w:hAnsi="Century Gothic"/>
          <w:sz w:val="17"/>
          <w:szCs w:val="17"/>
          <w:lang w:val="es-ES"/>
        </w:rPr>
      </w:pP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 xml:space="preserve">La distinción Juan Montalvo se otorga al Lcdo. Julio Enrique Balarezo. La condecoración se entrega a las personas </w:t>
      </w:r>
      <w:r w:rsidRPr="006F6DCE">
        <w:rPr>
          <w:rFonts w:ascii="Century Gothic" w:hAnsi="Century Gothic"/>
          <w:sz w:val="17"/>
          <w:szCs w:val="17"/>
          <w:lang w:val="es-ES"/>
        </w:rPr>
        <w:t>que,</w:t>
      </w:r>
      <w:r w:rsidRPr="006F6DCE">
        <w:rPr>
          <w:rFonts w:ascii="Century Gothic" w:hAnsi="Century Gothic"/>
          <w:sz w:val="17"/>
          <w:szCs w:val="17"/>
          <w:lang w:val="es-ES"/>
        </w:rPr>
        <w:t xml:space="preserve"> por su trayectoria y labor trascendental en la literatura y </w:t>
      </w:r>
      <w:r w:rsidRPr="006F6DCE">
        <w:rPr>
          <w:rFonts w:ascii="Century Gothic" w:hAnsi="Century Gothic"/>
          <w:sz w:val="17"/>
          <w:szCs w:val="17"/>
          <w:lang w:val="es-ES"/>
        </w:rPr>
        <w:t>las letras</w:t>
      </w:r>
      <w:r w:rsidRPr="006F6DCE">
        <w:rPr>
          <w:rFonts w:ascii="Century Gothic" w:hAnsi="Century Gothic"/>
          <w:sz w:val="17"/>
          <w:szCs w:val="17"/>
          <w:lang w:val="es-ES"/>
        </w:rPr>
        <w:t xml:space="preserve">, haya servido y beneficiado notoriamente a la comunidad, revalorizando la memoria histórica de Ambato y Tungurahua. </w:t>
      </w:r>
    </w:p>
    <w:p w:rsidR="006F6DCE" w:rsidRPr="006F6DCE" w:rsidRDefault="006F6DCE" w:rsidP="006F6DCE">
      <w:pPr>
        <w:jc w:val="both"/>
        <w:rPr>
          <w:rFonts w:ascii="Century Gothic" w:hAnsi="Century Gothic"/>
          <w:sz w:val="17"/>
          <w:szCs w:val="17"/>
          <w:lang w:val="es-ES"/>
        </w:rPr>
      </w:pP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Balarezo nació en Quito el 27 de abril de 1947, es licenciado en Sicología Educativa, profesor de secundaria y catedrático de la Universidad Técnica de Ambato e Indoamérica. Autor de los libros: ‘Conozcamos a Luis A. Martínez’, ‘La madre es el mejor regalo de Dios’, ‘Admiradores e Iconografía de Juan Montalvo’, ‘El hombre’, ‘El periodista y el tribuno’, ‘Por las letras de Tungurahua’, etc.</w:t>
      </w:r>
    </w:p>
    <w:p w:rsidR="006F6DCE" w:rsidRPr="006F6DCE" w:rsidRDefault="006F6DCE" w:rsidP="006F6DCE">
      <w:pPr>
        <w:jc w:val="both"/>
        <w:rPr>
          <w:rFonts w:ascii="Century Gothic" w:hAnsi="Century Gothic"/>
          <w:sz w:val="17"/>
          <w:szCs w:val="17"/>
          <w:lang w:val="es-ES"/>
        </w:rPr>
      </w:pP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La distinción Juan León Mera se entrega al maestro Álvaro Manzano. Esta distinción se otorga a la persona natural o jurídica que se haya distinguido indistintamente en las expresiones: artísticas, culturales, deportivas y proyectos ecológicos y ambientales.</w:t>
      </w:r>
    </w:p>
    <w:p w:rsidR="006F6DCE" w:rsidRPr="006F6DCE" w:rsidRDefault="006F6DCE" w:rsidP="006F6DCE">
      <w:pPr>
        <w:jc w:val="both"/>
        <w:rPr>
          <w:rFonts w:ascii="Century Gothic" w:hAnsi="Century Gothic"/>
          <w:sz w:val="17"/>
          <w:szCs w:val="17"/>
          <w:lang w:val="es-ES"/>
        </w:rPr>
      </w:pP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 xml:space="preserve">Manzano se graduó con medalla de Oro en el Conservatorio de Música en 1975. Viajó a Moscú, en donde se graduó de Director Coral para continuar sus estudios en el Conservatorio Superior de Tchaikovsky, obteniendo el título de Máster en Bellas Artes, Especialización en Dirección Sinfónica. Dirigió la Orquesta Sinfónica Nacional por más de 25 años y ha dirigido más </w:t>
      </w:r>
      <w:r w:rsidRPr="006F6DCE">
        <w:rPr>
          <w:rFonts w:ascii="Century Gothic" w:hAnsi="Century Gothic"/>
          <w:sz w:val="17"/>
          <w:szCs w:val="17"/>
          <w:lang w:val="es-ES"/>
        </w:rPr>
        <w:t>de mil</w:t>
      </w:r>
      <w:r w:rsidRPr="006F6DCE">
        <w:rPr>
          <w:rFonts w:ascii="Century Gothic" w:hAnsi="Century Gothic"/>
          <w:sz w:val="17"/>
          <w:szCs w:val="17"/>
          <w:lang w:val="es-ES"/>
        </w:rPr>
        <w:t xml:space="preserve"> conciertos.</w:t>
      </w:r>
    </w:p>
    <w:p w:rsidR="006F6DCE" w:rsidRPr="006F6DCE" w:rsidRDefault="006F6DCE" w:rsidP="006F6DCE">
      <w:pPr>
        <w:jc w:val="both"/>
        <w:rPr>
          <w:rFonts w:ascii="Century Gothic" w:hAnsi="Century Gothic"/>
          <w:sz w:val="17"/>
          <w:szCs w:val="17"/>
          <w:lang w:val="es-ES"/>
        </w:rPr>
      </w:pP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 xml:space="preserve">La distinción Juan Benigno Vela recibirá la empresa Constructora Pladeco. Este reconocimiento se entrega a la persona natural o jurídica que se haya distinguido indistintamente en labores: sociales, empresariales, artesanales y las ciencias en sus diferentes ámbitos. </w:t>
      </w:r>
    </w:p>
    <w:p w:rsidR="006F6DCE" w:rsidRPr="006F6DCE" w:rsidRDefault="006F6DCE" w:rsidP="006F6DCE">
      <w:pPr>
        <w:jc w:val="both"/>
        <w:rPr>
          <w:rFonts w:ascii="Century Gothic" w:hAnsi="Century Gothic"/>
          <w:sz w:val="17"/>
          <w:szCs w:val="17"/>
          <w:lang w:val="es-ES"/>
        </w:rPr>
      </w:pP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 xml:space="preserve">Pladeco empieza sus labores en 1965 presidida por Jaime Herodía Cobo. Desde su creación construyó edificaciones como el Banco Central del Ecuador (hoy Biblioteca Provincial), Empresa Eléctrica Ambato, Filanbanco (hoy Fiscalía de Tungurahua), la nueva Terminal Terrestre Sur de Ambato, Inspectoría General de la Policía (Quito), Paseo Shopping Ambato y Riobamba, El Rosal </w:t>
      </w:r>
      <w:r w:rsidRPr="006F6DCE">
        <w:rPr>
          <w:rFonts w:ascii="Century Gothic" w:hAnsi="Century Gothic"/>
          <w:sz w:val="17"/>
          <w:szCs w:val="17"/>
          <w:lang w:val="es-ES"/>
        </w:rPr>
        <w:t>Latacunga, Parqueadero</w:t>
      </w:r>
      <w:r w:rsidRPr="006F6DCE">
        <w:rPr>
          <w:rFonts w:ascii="Century Gothic" w:hAnsi="Century Gothic"/>
          <w:sz w:val="17"/>
          <w:szCs w:val="17"/>
          <w:lang w:val="es-ES"/>
        </w:rPr>
        <w:t xml:space="preserve"> Mercado Central de Ambato y Centro de Revisión Técnica Vehicular (CRTV) de Ambato en construcción, a más de múltiples proyectos habitacionales.</w:t>
      </w:r>
    </w:p>
    <w:p w:rsidR="006F6DCE" w:rsidRPr="006F6DCE" w:rsidRDefault="006F6DCE" w:rsidP="006F6DCE">
      <w:pPr>
        <w:jc w:val="both"/>
        <w:rPr>
          <w:rFonts w:ascii="Century Gothic" w:hAnsi="Century Gothic"/>
          <w:sz w:val="17"/>
          <w:szCs w:val="17"/>
          <w:lang w:val="es-ES"/>
        </w:rPr>
      </w:pP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 xml:space="preserve">La misma Comisión resolvió, por </w:t>
      </w:r>
      <w:r w:rsidRPr="006F6DCE">
        <w:rPr>
          <w:rFonts w:ascii="Century Gothic" w:hAnsi="Century Gothic"/>
          <w:sz w:val="17"/>
          <w:szCs w:val="17"/>
          <w:lang w:val="es-ES"/>
        </w:rPr>
        <w:t>unanimidad, postular a</w:t>
      </w:r>
      <w:r w:rsidRPr="006F6DCE">
        <w:rPr>
          <w:rFonts w:ascii="Century Gothic" w:hAnsi="Century Gothic"/>
          <w:sz w:val="17"/>
          <w:szCs w:val="17"/>
          <w:lang w:val="es-ES"/>
        </w:rPr>
        <w:t xml:space="preserve"> los siguientes artesanos, para recibir el Reconocimiento </w:t>
      </w:r>
      <w:r w:rsidRPr="006F6DCE">
        <w:rPr>
          <w:rFonts w:ascii="Century Gothic" w:hAnsi="Century Gothic"/>
          <w:sz w:val="17"/>
          <w:szCs w:val="17"/>
          <w:lang w:val="es-ES"/>
        </w:rPr>
        <w:t>a quienes a</w:t>
      </w:r>
      <w:r w:rsidRPr="006F6DCE">
        <w:rPr>
          <w:rFonts w:ascii="Century Gothic" w:hAnsi="Century Gothic"/>
          <w:sz w:val="17"/>
          <w:szCs w:val="17"/>
          <w:lang w:val="es-ES"/>
        </w:rPr>
        <w:t xml:space="preserve"> través de su trayectoria artesanal y artística hayan dado prestigio al Cantón. Se postulan las siguientes personas:</w:t>
      </w: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Sr. José Antonio Portero Núñez- Maestro en la rama artesanal de carpintería.</w:t>
      </w: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Sr. Jesús Emerto Guevara Herrera- Maestro en la</w:t>
      </w:r>
      <w:r w:rsidRPr="006F6DCE">
        <w:rPr>
          <w:rFonts w:ascii="Century Gothic" w:hAnsi="Century Gothic"/>
          <w:sz w:val="17"/>
          <w:szCs w:val="17"/>
          <w:lang w:val="es-ES"/>
        </w:rPr>
        <w:t xml:space="preserve"> rama artesanal de carpintería.</w:t>
      </w: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Sr. Jaime Taipe Lagla- Maestro en la rama artesanal de zapatería.</w:t>
      </w: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Sr. Luis Enrique Flores Sánchez - Maestro en la rama artesanal de joyería y relojería.</w:t>
      </w: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Sr. Wilson Valencia Poveda- Maestro en la rama artesanal de Tapicería en general.</w:t>
      </w:r>
    </w:p>
    <w:p w:rsidR="006F6DCE" w:rsidRPr="006F6DCE" w:rsidRDefault="006F6DCE" w:rsidP="006F6DCE">
      <w:pPr>
        <w:jc w:val="both"/>
        <w:rPr>
          <w:rFonts w:ascii="Century Gothic" w:hAnsi="Century Gothic"/>
          <w:sz w:val="17"/>
          <w:szCs w:val="17"/>
          <w:lang w:val="es-ES"/>
        </w:rPr>
      </w:pP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También se postula el reconocimiento los siguientes artistas populares:</w:t>
      </w:r>
    </w:p>
    <w:p w:rsidR="006F6DCE" w:rsidRPr="006F6DCE" w:rsidRDefault="006F6DCE" w:rsidP="006F6DCE">
      <w:pPr>
        <w:jc w:val="both"/>
        <w:rPr>
          <w:rFonts w:ascii="Century Gothic" w:hAnsi="Century Gothic"/>
          <w:sz w:val="17"/>
          <w:szCs w:val="17"/>
          <w:lang w:val="es-ES"/>
        </w:rPr>
      </w:pP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Lcdo. Héctor Efraín Ramírez.</w:t>
      </w: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Dúo de los Hermanos Acuña Tamayo.</w:t>
      </w: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Sr. Roberto Altamirano.</w:t>
      </w:r>
    </w:p>
    <w:p w:rsidR="006F6DCE" w:rsidRPr="006F6DCE" w:rsidRDefault="006F6DCE" w:rsidP="006F6DCE">
      <w:pPr>
        <w:jc w:val="both"/>
        <w:rPr>
          <w:rFonts w:ascii="Century Gothic" w:hAnsi="Century Gothic"/>
          <w:sz w:val="17"/>
          <w:szCs w:val="17"/>
          <w:lang w:val="es-ES"/>
        </w:rPr>
      </w:pPr>
      <w:r w:rsidRPr="006F6DCE">
        <w:rPr>
          <w:rFonts w:ascii="Century Gothic" w:hAnsi="Century Gothic"/>
          <w:sz w:val="17"/>
          <w:szCs w:val="17"/>
          <w:lang w:val="es-ES"/>
        </w:rPr>
        <w:t>Sra. Flor Maricela Solano Cruz- nombre artístico “Heidy´Dy tu encanto y Pasión”.</w:t>
      </w:r>
    </w:p>
    <w:p w:rsidR="006F6DCE" w:rsidRPr="006F6DCE" w:rsidRDefault="006F6DCE" w:rsidP="006F6DCE">
      <w:pPr>
        <w:jc w:val="both"/>
        <w:rPr>
          <w:rFonts w:ascii="Century Gothic" w:hAnsi="Century Gothic"/>
          <w:b/>
          <w:sz w:val="17"/>
          <w:szCs w:val="17"/>
          <w:lang w:val="es-ES"/>
        </w:rPr>
      </w:pPr>
    </w:p>
    <w:p w:rsidR="000104BE" w:rsidRPr="006F6DCE" w:rsidRDefault="002A1EFF" w:rsidP="004B5C0C">
      <w:pPr>
        <w:jc w:val="both"/>
        <w:rPr>
          <w:rFonts w:ascii="Century Gothic" w:hAnsi="Century Gothic"/>
          <w:b/>
          <w:sz w:val="14"/>
          <w:lang w:val="es-ES"/>
        </w:rPr>
      </w:pPr>
      <w:r w:rsidRPr="006F6DCE">
        <w:rPr>
          <w:rFonts w:ascii="Century Gothic" w:hAnsi="Century Gothic"/>
          <w:b/>
          <w:sz w:val="18"/>
          <w:lang w:val="es-ES"/>
        </w:rPr>
        <w:t>Comunicación Institucional</w:t>
      </w:r>
      <w:r w:rsidR="004D40C5" w:rsidRPr="006F6DCE">
        <w:rPr>
          <w:rFonts w:ascii="Century Gothic" w:hAnsi="Century Gothic"/>
          <w:b/>
          <w:sz w:val="18"/>
          <w:lang w:val="es-ES"/>
        </w:rPr>
        <w:t>.</w:t>
      </w:r>
    </w:p>
    <w:sectPr w:rsidR="000104BE" w:rsidRPr="006F6DC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870" w:rsidRDefault="00565870" w:rsidP="00411730">
      <w:r>
        <w:separator/>
      </w:r>
    </w:p>
  </w:endnote>
  <w:endnote w:type="continuationSeparator" w:id="0">
    <w:p w:rsidR="00565870" w:rsidRDefault="00565870"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870" w:rsidRDefault="00565870" w:rsidP="00411730">
      <w:r>
        <w:separator/>
      </w:r>
    </w:p>
  </w:footnote>
  <w:footnote w:type="continuationSeparator" w:id="0">
    <w:p w:rsidR="00565870" w:rsidRDefault="00565870"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946CF"/>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2020-10-20T22:12:00Z</cp:lastPrinted>
  <dcterms:created xsi:type="dcterms:W3CDTF">2020-10-27T21:09:00Z</dcterms:created>
  <dcterms:modified xsi:type="dcterms:W3CDTF">2020-10-27T21:09:00Z</dcterms:modified>
</cp:coreProperties>
</file>