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02DD">
                              <w:rPr>
                                <w:rFonts w:ascii="Century Gothic" w:hAnsi="Century Gothic"/>
                                <w:b/>
                                <w:lang w:val="es-ES"/>
                              </w:rPr>
                              <w:t>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02DD">
                        <w:rPr>
                          <w:rFonts w:ascii="Century Gothic" w:hAnsi="Century Gothic"/>
                          <w:b/>
                          <w:lang w:val="es-ES"/>
                        </w:rPr>
                        <w:t>254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9C02DD" w:rsidRDefault="009C02DD" w:rsidP="009C02DD">
      <w:pPr>
        <w:jc w:val="center"/>
        <w:rPr>
          <w:rFonts w:ascii="Century Gothic" w:hAnsi="Century Gothic"/>
          <w:b/>
          <w:sz w:val="20"/>
          <w:lang w:val="es-ES"/>
        </w:rPr>
      </w:pPr>
      <w:bookmarkStart w:id="0" w:name="_GoBack"/>
      <w:r w:rsidRPr="009C02DD">
        <w:rPr>
          <w:rFonts w:ascii="Century Gothic" w:hAnsi="Century Gothic"/>
          <w:b/>
          <w:sz w:val="20"/>
          <w:lang w:val="es-ES"/>
        </w:rPr>
        <w:t>Municipalidad exonera el pago arriendos en locales municipales</w:t>
      </w:r>
    </w:p>
    <w:bookmarkEnd w:id="0"/>
    <w:p w:rsidR="009C02DD" w:rsidRPr="009C02DD" w:rsidRDefault="009C02DD" w:rsidP="009C02DD">
      <w:pPr>
        <w:jc w:val="both"/>
        <w:rPr>
          <w:rFonts w:ascii="Century Gothic" w:hAnsi="Century Gothic"/>
          <w:b/>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El alcalde de Ambato, Dr. Javier Altamirano Sánchez, impulsa la reactivación económica del cantón tanto de las grandes empresas como de los microempresarios. Para este propósito se emitió varias acciones que favorecen a los inversionistas.</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La Primera Autoridad de la Ciudad, dispuso la exoneración se releva del pago a los cánones de arriendo en los mercados municipales y la Licencia Única Anual de Funcionamiento a prestadores de servicios turísticos del cantón Ambato, este último proceso está en trámite.</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 xml:space="preserve">Según datos de la Jefatura de Rentas de la </w:t>
      </w:r>
      <w:r w:rsidRPr="009C02DD">
        <w:rPr>
          <w:rFonts w:ascii="Century Gothic" w:hAnsi="Century Gothic"/>
          <w:sz w:val="20"/>
          <w:lang w:val="es-ES"/>
        </w:rPr>
        <w:t>Municipalidad</w:t>
      </w:r>
      <w:r w:rsidRPr="009C02DD">
        <w:rPr>
          <w:rFonts w:ascii="Century Gothic" w:hAnsi="Century Gothic"/>
          <w:sz w:val="20"/>
          <w:lang w:val="es-ES"/>
        </w:rPr>
        <w:t xml:space="preserve">, en el 2019 se emitieron 42.207 patentes y se recaudó por este rubro 2,8 millones de dólares. Mientras </w:t>
      </w:r>
      <w:r w:rsidRPr="009C02DD">
        <w:rPr>
          <w:rFonts w:ascii="Century Gothic" w:hAnsi="Century Gothic"/>
          <w:sz w:val="20"/>
          <w:lang w:val="es-ES"/>
        </w:rPr>
        <w:t>que,</w:t>
      </w:r>
      <w:r w:rsidRPr="009C02DD">
        <w:rPr>
          <w:rFonts w:ascii="Century Gothic" w:hAnsi="Century Gothic"/>
          <w:sz w:val="20"/>
          <w:lang w:val="es-ES"/>
        </w:rPr>
        <w:t xml:space="preserve"> de enero a mayo de este año, se emitieron 19.130 patentes con </w:t>
      </w:r>
      <w:r w:rsidRPr="009C02DD">
        <w:rPr>
          <w:rFonts w:ascii="Century Gothic" w:hAnsi="Century Gothic"/>
          <w:sz w:val="20"/>
          <w:lang w:val="es-ES"/>
        </w:rPr>
        <w:t>una recaudación 827.000 dólares.</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 xml:space="preserve">En cuanto a los arriendos en los locales y puestos de las Red de Plazas y Mercados, el año pasado la </w:t>
      </w:r>
      <w:r w:rsidRPr="009C02DD">
        <w:rPr>
          <w:rFonts w:ascii="Century Gothic" w:hAnsi="Century Gothic"/>
          <w:sz w:val="20"/>
          <w:lang w:val="es-ES"/>
        </w:rPr>
        <w:t>Municipalidad</w:t>
      </w:r>
      <w:r w:rsidRPr="009C02DD">
        <w:rPr>
          <w:rFonts w:ascii="Century Gothic" w:hAnsi="Century Gothic"/>
          <w:sz w:val="20"/>
          <w:lang w:val="es-ES"/>
        </w:rPr>
        <w:t xml:space="preserve"> recibió 353.000 dólares. El pago de los servicios básicos, limpieza y vigilancia corre por cuenta de cada usuario o inquilino de la Municipalidad.</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Para la exoneración de multas se tiene como base legal el Decreto de Estado de Excepción emitido por la Presidencia de la República, el 26 de marzo, la Ordenanza Municipal aprobada el 30 de abril de este año y publicada en el Registro Oficial, al igual que una disposición administrativa de la Dirección Financiera para que se aplique las exoneraciones.</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Cumplidos estos requisitos se efectúan los cambios en la plataforma digital de la Municipalidad para proceder a la exoneración de patentes, arriendos y demás rubros que suele cobrar el Municipio de Ambato.</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 xml:space="preserve">Si los contribuyentes ya pagaron estos rubros, podrán solicitar su devolución para lo cual deberán presentar una solicitud con este pedido. El Cabildo ambateño, emite un </w:t>
      </w:r>
      <w:r w:rsidRPr="009C02DD">
        <w:rPr>
          <w:rFonts w:ascii="Century Gothic" w:hAnsi="Century Gothic"/>
          <w:sz w:val="20"/>
          <w:lang w:val="es-ES"/>
        </w:rPr>
        <w:t>título</w:t>
      </w:r>
      <w:r w:rsidRPr="009C02DD">
        <w:rPr>
          <w:rFonts w:ascii="Century Gothic" w:hAnsi="Century Gothic"/>
          <w:sz w:val="20"/>
          <w:lang w:val="es-ES"/>
        </w:rPr>
        <w:t xml:space="preserve"> de crédito a favor del ciudadano.</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El Concejo Municipal de Ambato, en su sesión del martes 2 de junio, aprobó, en primer debate, el proyecto de Ordenanza que promueve la exoneración del pago de la Licencia Única Anual de funcionamiento a prestadores de servicios turísticos del cantón Ambato.</w:t>
      </w:r>
    </w:p>
    <w:p w:rsidR="009C02DD" w:rsidRPr="009C02DD" w:rsidRDefault="009C02DD" w:rsidP="009C02DD">
      <w:pPr>
        <w:jc w:val="both"/>
        <w:rPr>
          <w:rFonts w:ascii="Century Gothic" w:hAnsi="Century Gothic"/>
          <w:sz w:val="20"/>
          <w:lang w:val="es-ES"/>
        </w:rPr>
      </w:pPr>
    </w:p>
    <w:p w:rsidR="009C02DD" w:rsidRPr="009C02DD" w:rsidRDefault="009C02DD" w:rsidP="009C02DD">
      <w:pPr>
        <w:jc w:val="both"/>
        <w:rPr>
          <w:rFonts w:ascii="Century Gothic" w:hAnsi="Century Gothic"/>
          <w:sz w:val="20"/>
          <w:lang w:val="es-ES"/>
        </w:rPr>
      </w:pPr>
      <w:r w:rsidRPr="009C02DD">
        <w:rPr>
          <w:rFonts w:ascii="Century Gothic" w:hAnsi="Century Gothic"/>
          <w:sz w:val="20"/>
          <w:lang w:val="es-ES"/>
        </w:rPr>
        <w:t>El objetivo de este cuerpo legal es ayudar al sector turístico del cantón, que fue uno de los más afectados por la crisis sanitaria generada por el Covid-19. La actual pandemia afectó a hoteles, restaurantes, agencias de viajes, hosterías, moteles, etc.</w:t>
      </w:r>
    </w:p>
    <w:p w:rsidR="009C02DD" w:rsidRPr="009C02DD" w:rsidRDefault="009C02DD" w:rsidP="009C02DD">
      <w:pPr>
        <w:jc w:val="both"/>
        <w:rPr>
          <w:rFonts w:ascii="Century Gothic" w:hAnsi="Century Gothic"/>
          <w:sz w:val="20"/>
          <w:lang w:val="es-ES"/>
        </w:rPr>
      </w:pPr>
    </w:p>
    <w:p w:rsidR="00C20BC7" w:rsidRPr="009C02DD" w:rsidRDefault="009C02DD" w:rsidP="009C02DD">
      <w:pPr>
        <w:jc w:val="both"/>
        <w:rPr>
          <w:rFonts w:ascii="Century Gothic" w:hAnsi="Century Gothic"/>
          <w:sz w:val="20"/>
          <w:lang w:val="es-ES"/>
        </w:rPr>
      </w:pPr>
      <w:r w:rsidRPr="009C02DD">
        <w:rPr>
          <w:rFonts w:ascii="Century Gothic" w:hAnsi="Century Gothic"/>
          <w:sz w:val="20"/>
          <w:lang w:val="es-ES"/>
        </w:rPr>
        <w:t>El Concejo Municipal envío este proyecto de ordenanza a la Comisión de Turismo, organismo que deberá emitir un informe, previa la aprobación en segundo y definitivo debate, por parte del Concejo Municipal.</w:t>
      </w:r>
    </w:p>
    <w:p w:rsidR="009C02DD" w:rsidRPr="00C20BC7" w:rsidRDefault="009C02DD" w:rsidP="009C02DD">
      <w:pPr>
        <w:jc w:val="both"/>
        <w:rPr>
          <w:rFonts w:ascii="Century Gothic" w:hAnsi="Century Gothic"/>
          <w:sz w:val="18"/>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AB" w:rsidRDefault="003E5DAB" w:rsidP="00411730">
      <w:r>
        <w:separator/>
      </w:r>
    </w:p>
  </w:endnote>
  <w:endnote w:type="continuationSeparator" w:id="0">
    <w:p w:rsidR="003E5DAB" w:rsidRDefault="003E5DA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AB" w:rsidRDefault="003E5DAB" w:rsidP="00411730">
      <w:r>
        <w:separator/>
      </w:r>
    </w:p>
  </w:footnote>
  <w:footnote w:type="continuationSeparator" w:id="0">
    <w:p w:rsidR="003E5DAB" w:rsidRDefault="003E5DA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554C"/>
    <w:rsid w:val="00690FAC"/>
    <w:rsid w:val="00695700"/>
    <w:rsid w:val="00696619"/>
    <w:rsid w:val="006A366E"/>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20BC7"/>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3180"/>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2020-10-15T18:59:00Z</cp:lastPrinted>
  <dcterms:created xsi:type="dcterms:W3CDTF">2020-10-20T17:24:00Z</dcterms:created>
  <dcterms:modified xsi:type="dcterms:W3CDTF">2020-10-20T17:24:00Z</dcterms:modified>
</cp:coreProperties>
</file>