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EF18E1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6F283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EF18E1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6F283E">
                        <w:rPr>
                          <w:rFonts w:ascii="Century Gothic" w:hAnsi="Century Gothic"/>
                          <w:b/>
                          <w:lang w:val="es-ES"/>
                        </w:rPr>
                        <w:t>9</w:t>
                      </w:r>
                      <w:bookmarkStart w:id="1" w:name="_GoBack"/>
                      <w:bookmarkEnd w:id="1"/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46A8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246A8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F16E25" w:rsidRDefault="00F16E25" w:rsidP="00F16E25">
      <w:pPr>
        <w:jc w:val="center"/>
        <w:rPr>
          <w:rFonts w:ascii="Century Gothic" w:hAnsi="Century Gothic"/>
          <w:b/>
          <w:sz w:val="18"/>
          <w:lang w:val="es-ES"/>
        </w:rPr>
      </w:pPr>
      <w:r w:rsidRPr="00F16E25">
        <w:rPr>
          <w:rFonts w:ascii="Century Gothic" w:hAnsi="Century Gothic"/>
          <w:b/>
          <w:sz w:val="18"/>
          <w:lang w:val="es-ES"/>
        </w:rPr>
        <w:t>Municipio invierte 725.000 dólares en Centro de Fauna Urbana</w:t>
      </w:r>
    </w:p>
    <w:p w:rsidR="00F16E25" w:rsidRPr="006F283E" w:rsidRDefault="00F16E25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Default="006F283E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>Hasta a</w:t>
      </w:r>
      <w:r w:rsidR="00F16E25" w:rsidRPr="006F283E">
        <w:rPr>
          <w:rFonts w:ascii="Century Gothic" w:hAnsi="Century Gothic"/>
          <w:sz w:val="18"/>
          <w:lang w:val="es-ES"/>
        </w:rPr>
        <w:t xml:space="preserve"> las 13:30, del </w:t>
      </w:r>
      <w:r w:rsidRPr="006F283E">
        <w:rPr>
          <w:rFonts w:ascii="Century Gothic" w:hAnsi="Century Gothic"/>
          <w:sz w:val="18"/>
          <w:lang w:val="es-ES"/>
        </w:rPr>
        <w:t>próximo 8</w:t>
      </w:r>
      <w:r w:rsidR="00F16E25" w:rsidRPr="006F283E">
        <w:rPr>
          <w:rFonts w:ascii="Century Gothic" w:hAnsi="Century Gothic"/>
          <w:sz w:val="18"/>
          <w:lang w:val="es-ES"/>
        </w:rPr>
        <w:t xml:space="preserve"> de octubre de este año, las empresas y profesionales de la </w:t>
      </w:r>
      <w:r w:rsidRPr="006F283E">
        <w:rPr>
          <w:rFonts w:ascii="Century Gothic" w:hAnsi="Century Gothic"/>
          <w:sz w:val="18"/>
          <w:lang w:val="es-ES"/>
        </w:rPr>
        <w:t>construcción podrán</w:t>
      </w:r>
      <w:r w:rsidR="00F16E25" w:rsidRPr="006F283E">
        <w:rPr>
          <w:rFonts w:ascii="Century Gothic" w:hAnsi="Century Gothic"/>
          <w:sz w:val="18"/>
          <w:lang w:val="es-ES"/>
        </w:rPr>
        <w:t xml:space="preserve"> presentar las ofertas para la edificación del Centro Integral de Gestión de Fauna Urbana que será construido por la </w:t>
      </w:r>
      <w:r w:rsidRPr="006F283E">
        <w:rPr>
          <w:rFonts w:ascii="Century Gothic" w:hAnsi="Century Gothic"/>
          <w:sz w:val="18"/>
          <w:lang w:val="es-ES"/>
        </w:rPr>
        <w:t>Municipalidad</w:t>
      </w:r>
      <w:r w:rsidR="00F16E25" w:rsidRPr="006F283E">
        <w:rPr>
          <w:rFonts w:ascii="Century Gothic" w:hAnsi="Century Gothic"/>
          <w:sz w:val="18"/>
          <w:lang w:val="es-ES"/>
        </w:rPr>
        <w:t xml:space="preserve"> de Ambato con una inversión de aproximada de 725.000 dólares.</w:t>
      </w:r>
    </w:p>
    <w:p w:rsidR="006F283E" w:rsidRPr="006F283E" w:rsidRDefault="006F283E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Default="00F16E25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 xml:space="preserve">La administración Municipal del Alcalde de Ambato, Dr. Javier Altamirano Sánchez, mantiene una permanente preocupación por la fauna urbana. Por este motivo, impulsa la construcción </w:t>
      </w:r>
      <w:r w:rsidR="006F283E" w:rsidRPr="006F283E">
        <w:rPr>
          <w:rFonts w:ascii="Century Gothic" w:hAnsi="Century Gothic"/>
          <w:sz w:val="18"/>
          <w:lang w:val="es-ES"/>
        </w:rPr>
        <w:t>del CIGFU</w:t>
      </w:r>
      <w:r w:rsidRPr="006F283E">
        <w:rPr>
          <w:rFonts w:ascii="Century Gothic" w:hAnsi="Century Gothic"/>
          <w:sz w:val="18"/>
          <w:lang w:val="es-ES"/>
        </w:rPr>
        <w:t>.</w:t>
      </w:r>
    </w:p>
    <w:p w:rsidR="006F283E" w:rsidRPr="006F283E" w:rsidRDefault="006F283E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Default="00F16E25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 xml:space="preserve">En los próximos días se conocerá la empresa o el </w:t>
      </w:r>
      <w:r w:rsidR="006F283E" w:rsidRPr="006F283E">
        <w:rPr>
          <w:rFonts w:ascii="Century Gothic" w:hAnsi="Century Gothic"/>
          <w:sz w:val="18"/>
          <w:lang w:val="es-ES"/>
        </w:rPr>
        <w:t>constructor contratista</w:t>
      </w:r>
      <w:r w:rsidRPr="006F283E">
        <w:rPr>
          <w:rFonts w:ascii="Century Gothic" w:hAnsi="Century Gothic"/>
          <w:sz w:val="18"/>
          <w:lang w:val="es-ES"/>
        </w:rPr>
        <w:t>, quien tendrá un plazo de 200 días a partir de la entrega de anticipo, para concluir la obra que se ubica en una propiedad municipal localizada en las inmediaciones del Parque Industrial Ambato, al norte de esta ciudad.</w:t>
      </w:r>
    </w:p>
    <w:p w:rsidR="006F283E" w:rsidRPr="006F283E" w:rsidRDefault="006F283E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Default="00F16E25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 xml:space="preserve">El Director de Planificación y Patrimonio de la Municipalidad, Julio César Rodríguez, informó que </w:t>
      </w:r>
      <w:r w:rsidR="006F283E" w:rsidRPr="006F283E">
        <w:rPr>
          <w:rFonts w:ascii="Century Gothic" w:hAnsi="Century Gothic"/>
          <w:sz w:val="18"/>
          <w:lang w:val="es-ES"/>
        </w:rPr>
        <w:t>estas instalaciones</w:t>
      </w:r>
      <w:r w:rsidRPr="006F283E">
        <w:rPr>
          <w:rFonts w:ascii="Century Gothic" w:hAnsi="Century Gothic"/>
          <w:sz w:val="18"/>
          <w:lang w:val="es-ES"/>
        </w:rPr>
        <w:t xml:space="preserve"> se edificarán en un predio de 6.482 metros cuadrados, cuya área de construcción es de 1.300 metros cuadrados. </w:t>
      </w:r>
    </w:p>
    <w:p w:rsidR="006F283E" w:rsidRPr="006F283E" w:rsidRDefault="006F283E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Default="00F16E25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 xml:space="preserve">El Centro de Gestión Integral de Fauna Urbana contará con quirófanos, hospitalización y recuperación, consultorios, zona de adopciones, áreas de socialización e interacción con animales domésticos, lavandería, peluquería, control y bienestar animal. </w:t>
      </w:r>
    </w:p>
    <w:p w:rsidR="006F283E" w:rsidRPr="006F283E" w:rsidRDefault="006F283E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Default="00F16E25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 xml:space="preserve">El CIGFU también </w:t>
      </w:r>
      <w:r w:rsidR="006F283E" w:rsidRPr="006F283E">
        <w:rPr>
          <w:rFonts w:ascii="Century Gothic" w:hAnsi="Century Gothic"/>
          <w:sz w:val="18"/>
          <w:lang w:val="es-ES"/>
        </w:rPr>
        <w:t>tendrá una</w:t>
      </w:r>
      <w:r w:rsidRPr="006F283E">
        <w:rPr>
          <w:rFonts w:ascii="Century Gothic" w:hAnsi="Century Gothic"/>
          <w:sz w:val="18"/>
          <w:lang w:val="es-ES"/>
        </w:rPr>
        <w:t xml:space="preserve"> sala de capacitaciones, que permite un aforo de 50 personas. </w:t>
      </w:r>
      <w:r w:rsidR="006F283E" w:rsidRPr="006F283E">
        <w:rPr>
          <w:rFonts w:ascii="Century Gothic" w:hAnsi="Century Gothic"/>
          <w:sz w:val="18"/>
          <w:lang w:val="es-ES"/>
        </w:rPr>
        <w:t>Además,</w:t>
      </w:r>
      <w:r w:rsidRPr="006F283E">
        <w:rPr>
          <w:rFonts w:ascii="Century Gothic" w:hAnsi="Century Gothic"/>
          <w:sz w:val="18"/>
          <w:lang w:val="es-ES"/>
        </w:rPr>
        <w:t xml:space="preserve"> un salón para cuarentena para perros/gatos, con capacidad para acoger a 40 perros adultos y gatos. </w:t>
      </w:r>
    </w:p>
    <w:p w:rsidR="006F283E" w:rsidRPr="006F283E" w:rsidRDefault="006F283E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Default="00F16E25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 xml:space="preserve">En el actual Albergue de Mascotas, ubicado en la vía a Píllaro se efectúa un promedio 200 y 250 esterilizaciones por mes. El costo de una cirugía de este tipo para hembras con menos de 15 kilogramos de peso es de 12 dólares y con un peso mayor es de 18 dólares. Para los machos, estos pesos y costos fluctúan entre 9 y 15 dólares.  </w:t>
      </w:r>
    </w:p>
    <w:p w:rsidR="006F283E" w:rsidRPr="006F283E" w:rsidRDefault="006F283E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Default="00F16E25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>Este centro de esterilizaciones y adopciones atiende de martes a sábado, de 08:00 a 16:30. Las personas que deseen esterilizar a sus mascotas deben agendar el turno respectivo para las esterilizaciones, no requieren acudir al albergue sino sacar cita la última semana de cada mes para el siguiente mes.</w:t>
      </w:r>
    </w:p>
    <w:p w:rsidR="006F283E" w:rsidRPr="006F283E" w:rsidRDefault="006F283E" w:rsidP="00F16E25">
      <w:pPr>
        <w:jc w:val="both"/>
        <w:rPr>
          <w:rFonts w:ascii="Century Gothic" w:hAnsi="Century Gothic"/>
          <w:sz w:val="18"/>
          <w:lang w:val="es-ES"/>
        </w:rPr>
      </w:pPr>
    </w:p>
    <w:p w:rsidR="00F16E25" w:rsidRPr="006F283E" w:rsidRDefault="00F16E25" w:rsidP="00F16E25">
      <w:pPr>
        <w:jc w:val="both"/>
        <w:rPr>
          <w:rFonts w:ascii="Century Gothic" w:hAnsi="Century Gothic"/>
          <w:sz w:val="18"/>
          <w:lang w:val="es-ES"/>
        </w:rPr>
      </w:pPr>
      <w:r w:rsidRPr="006F283E">
        <w:rPr>
          <w:rFonts w:ascii="Century Gothic" w:hAnsi="Century Gothic"/>
          <w:sz w:val="18"/>
          <w:lang w:val="es-ES"/>
        </w:rPr>
        <w:t xml:space="preserve">Otro servicio que presta la Municipalidad en el Albergue de Mascotas es la adopción, los canes y felinos salen esterilizadas, vacunadas y desparasitadas. Los interesados en adopciones pueden acudir al Albergue Municipal, de 08:00 a 16:00 O llamar al </w:t>
      </w:r>
      <w:r w:rsidR="006F283E" w:rsidRPr="006F283E">
        <w:rPr>
          <w:rFonts w:ascii="Century Gothic" w:hAnsi="Century Gothic"/>
          <w:sz w:val="18"/>
          <w:lang w:val="es-ES"/>
        </w:rPr>
        <w:t>número 032</w:t>
      </w:r>
      <w:r w:rsidRPr="006F283E">
        <w:rPr>
          <w:rFonts w:ascii="Century Gothic" w:hAnsi="Century Gothic"/>
          <w:sz w:val="18"/>
          <w:lang w:val="es-ES"/>
        </w:rPr>
        <w:t xml:space="preserve"> 498430.</w:t>
      </w:r>
    </w:p>
    <w:p w:rsidR="00F16E25" w:rsidRDefault="00F16E25" w:rsidP="00F16E25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9672BD" w:rsidRDefault="006E0797" w:rsidP="00F16E25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DD" w:rsidRDefault="000503DD" w:rsidP="00411730">
      <w:r>
        <w:separator/>
      </w:r>
    </w:p>
  </w:endnote>
  <w:endnote w:type="continuationSeparator" w:id="0">
    <w:p w:rsidR="000503DD" w:rsidRDefault="000503DD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DD" w:rsidRDefault="000503DD" w:rsidP="00411730">
      <w:r>
        <w:separator/>
      </w:r>
    </w:p>
  </w:footnote>
  <w:footnote w:type="continuationSeparator" w:id="0">
    <w:p w:rsidR="000503DD" w:rsidRDefault="000503DD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503DD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283E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94871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16E25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D77150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2020-10-02T20:48:00Z</cp:lastPrinted>
  <dcterms:created xsi:type="dcterms:W3CDTF">2020-10-02T20:52:00Z</dcterms:created>
  <dcterms:modified xsi:type="dcterms:W3CDTF">2020-10-02T20:53:00Z</dcterms:modified>
</cp:coreProperties>
</file>